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6E9E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D97E1FA">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D944D9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1CE7271">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EB72899">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0990728">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5DBF499">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1F6518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AE48FEE">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鹿邑县穆店乡中心学校</w:t>
      </w:r>
    </w:p>
    <w:p w14:paraId="064867F5">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2024年单位预算</w:t>
      </w:r>
    </w:p>
    <w:p w14:paraId="2822437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A32A1D5">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8F0BA2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18DEDE6">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F8E4CB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11C32F6">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89BA59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A82787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5D18B6F5">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8650176">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67A511E0">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鹿邑县穆店乡中心学校</w:t>
      </w:r>
      <w:r>
        <w:rPr>
          <w:rFonts w:ascii="黑体" w:hAnsi="黑体" w:eastAsia="黑体" w:cs="黑体"/>
          <w:spacing w:val="11"/>
          <w:sz w:val="31"/>
          <w:szCs w:val="31"/>
          <w:highlight w:val="none"/>
        </w:rPr>
        <w:t>概况</w:t>
      </w:r>
    </w:p>
    <w:p w14:paraId="59D4CFE0">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59E0FB6C">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w:t>
      </w:r>
      <w:r>
        <w:rPr>
          <w:rFonts w:ascii="仿宋" w:hAnsi="仿宋" w:eastAsia="仿宋" w:cs="仿宋"/>
          <w:color w:val="313131"/>
          <w:spacing w:val="9"/>
          <w:sz w:val="31"/>
          <w:szCs w:val="31"/>
          <w:highlight w:val="none"/>
        </w:rPr>
        <w:t>预算单位构成</w:t>
      </w:r>
    </w:p>
    <w:p w14:paraId="6EFCFF7E">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鹿邑县穆店乡中心学校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预算情况说明</w:t>
      </w:r>
    </w:p>
    <w:p w14:paraId="56E01F26">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260D4CF7">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鹿邑县穆店乡中心学校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预算表</w:t>
      </w:r>
    </w:p>
    <w:p w14:paraId="6A48CEDB">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一、2024年单位收支总体情况表</w:t>
      </w:r>
    </w:p>
    <w:p w14:paraId="1AA9BDEA">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二、2024年单位收入总体情况表</w:t>
      </w:r>
    </w:p>
    <w:p w14:paraId="7E5726FC">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三、2024年单位支出总体情况表</w:t>
      </w:r>
    </w:p>
    <w:p w14:paraId="26763528">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56435E6B">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04959862">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3E010383">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4AE130B0">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62A3D472">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3F392465">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186C882E">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07FDAF5A">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57A03B0F">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3FDC0743">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2EB9E42E">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十五、2024年单位整体绩效目标表</w:t>
      </w:r>
    </w:p>
    <w:p w14:paraId="11C82B8D">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十六、2024年单位预算项目绩效目标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7C757EA7">
      <w:pPr>
        <w:rPr>
          <w:rFonts w:hint="eastAsia" w:ascii="仿宋" w:hAnsi="仿宋" w:eastAsia="仿宋" w:cs="仿宋"/>
          <w:spacing w:val="8"/>
          <w:sz w:val="31"/>
          <w:szCs w:val="31"/>
          <w:highlight w:val="none"/>
          <w:lang w:val="en-US" w:eastAsia="zh-CN"/>
        </w:rPr>
      </w:pPr>
      <w:r>
        <w:br w:type="page"/>
      </w:r>
    </w:p>
    <w:p w14:paraId="045091C5">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鹿邑县穆店乡中心学校概况</w:t>
      </w:r>
    </w:p>
    <w:p w14:paraId="7190461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7B74BB13">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10D74DF4">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鹿邑县穆店乡中心学校，是主管全乡教育事业和语言文字工作的二级预算单位，内设6个科室（分别为办公室、业务处、总务处、政教处、团委、工会）。</w:t>
      </w:r>
    </w:p>
    <w:p w14:paraId="7198363F">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1419BF8A">
      <w:pPr>
        <w:keepNext w:val="0"/>
        <w:keepLines w:val="0"/>
        <w:pageBreakBefore w:val="0"/>
        <w:numPr>
          <w:ilvl w:val="0"/>
          <w:numId w:val="2"/>
        </w:numPr>
        <w:overflowPunct/>
        <w:topLinePunct w:val="0"/>
        <w:bidi w:val="0"/>
        <w:spacing w:line="360" w:lineRule="auto"/>
        <w:ind w:left="0" w:firstLine="766"/>
        <w:rPr>
          <w:rFonts w:hint="eastAsia" w:ascii="仿宋" w:hAnsi="仿宋" w:eastAsia="仿宋" w:cs="仿宋"/>
          <w:sz w:val="32"/>
          <w:szCs w:val="32"/>
        </w:rPr>
      </w:pPr>
      <w:r>
        <w:rPr>
          <w:rFonts w:hint="eastAsia" w:ascii="仿宋" w:hAnsi="仿宋" w:eastAsia="仿宋" w:cs="仿宋"/>
          <w:sz w:val="32"/>
          <w:szCs w:val="32"/>
        </w:rPr>
        <w:t>负责本</w:t>
      </w:r>
      <w:bookmarkStart w:id="0" w:name="_Hlk112669356"/>
      <w:r>
        <w:rPr>
          <w:rFonts w:hint="eastAsia" w:ascii="仿宋" w:hAnsi="仿宋" w:eastAsia="仿宋" w:cs="仿宋"/>
          <w:sz w:val="32"/>
          <w:szCs w:val="32"/>
        </w:rPr>
        <w:t>乡</w:t>
      </w:r>
      <w:bookmarkEnd w:id="0"/>
      <w:r>
        <w:rPr>
          <w:rFonts w:hint="eastAsia" w:ascii="仿宋" w:hAnsi="仿宋" w:eastAsia="仿宋" w:cs="仿宋"/>
          <w:sz w:val="32"/>
          <w:szCs w:val="32"/>
        </w:rPr>
        <w:t>辖区内中学、小学、幼儿园的德育、教学、教研、后勤等管理事务。</w:t>
      </w:r>
    </w:p>
    <w:p w14:paraId="79CDCE43">
      <w:pPr>
        <w:keepNext w:val="0"/>
        <w:keepLines w:val="0"/>
        <w:pageBreakBefore w:val="0"/>
        <w:numPr>
          <w:ilvl w:val="0"/>
          <w:numId w:val="2"/>
        </w:numPr>
        <w:overflowPunct/>
        <w:topLinePunct w:val="0"/>
        <w:bidi w:val="0"/>
        <w:spacing w:line="360" w:lineRule="auto"/>
        <w:ind w:left="0" w:firstLine="766"/>
        <w:rPr>
          <w:rFonts w:hint="eastAsia" w:ascii="仿宋" w:hAnsi="仿宋" w:eastAsia="仿宋" w:cs="仿宋"/>
          <w:sz w:val="32"/>
          <w:szCs w:val="32"/>
        </w:rPr>
      </w:pPr>
      <w:r>
        <w:rPr>
          <w:rFonts w:hint="eastAsia" w:ascii="仿宋" w:hAnsi="仿宋" w:eastAsia="仿宋" w:cs="仿宋"/>
          <w:sz w:val="32"/>
          <w:szCs w:val="32"/>
        </w:rPr>
        <w:t>研究拟定全乡教育发展战略和教育工作的规定、办法，监督和检查所属学校对党和国家的教育方针、政策、法规的贯彻执行。要依法办学，不断提高管理水平和教育质量。不断改善办学水平和提高教育质量，促进全镇中小学教育均衡发展。</w:t>
      </w:r>
    </w:p>
    <w:p w14:paraId="398CBAF4">
      <w:pPr>
        <w:keepNext w:val="0"/>
        <w:keepLines w:val="0"/>
        <w:pageBreakBefore w:val="0"/>
        <w:numPr>
          <w:ilvl w:val="0"/>
          <w:numId w:val="2"/>
        </w:numPr>
        <w:overflowPunct/>
        <w:topLinePunct w:val="0"/>
        <w:bidi w:val="0"/>
        <w:spacing w:line="360" w:lineRule="auto"/>
        <w:ind w:left="0" w:firstLine="766"/>
        <w:rPr>
          <w:rFonts w:hint="eastAsia" w:ascii="仿宋" w:hAnsi="仿宋" w:eastAsia="仿宋" w:cs="仿宋"/>
          <w:sz w:val="32"/>
          <w:szCs w:val="32"/>
        </w:rPr>
      </w:pPr>
      <w:r>
        <w:rPr>
          <w:rFonts w:hint="eastAsia" w:ascii="仿宋" w:hAnsi="仿宋" w:eastAsia="仿宋" w:cs="仿宋"/>
          <w:sz w:val="32"/>
          <w:szCs w:val="32"/>
        </w:rPr>
        <w:t>管理和指导全乡教育教学研究工作，规划、指导教育现代化和教育信息化工作，发挥中小学教研中心作用。在中心学校统一领导下，组织全乡中小学教师开展教育教学研究课、教学观摩、教学竞赛、课题实验、经验交流、教学基本功训练、专题研讨等教研活动。</w:t>
      </w:r>
    </w:p>
    <w:p w14:paraId="7BC6294F">
      <w:pPr>
        <w:keepNext w:val="0"/>
        <w:keepLines w:val="0"/>
        <w:pageBreakBefore w:val="0"/>
        <w:numPr>
          <w:ilvl w:val="0"/>
          <w:numId w:val="2"/>
        </w:numPr>
        <w:overflowPunct/>
        <w:topLinePunct w:val="0"/>
        <w:bidi w:val="0"/>
        <w:spacing w:line="360" w:lineRule="auto"/>
        <w:ind w:left="0" w:firstLine="766"/>
        <w:rPr>
          <w:rFonts w:hint="eastAsia" w:ascii="仿宋" w:hAnsi="仿宋" w:eastAsia="仿宋" w:cs="仿宋"/>
          <w:sz w:val="32"/>
          <w:szCs w:val="32"/>
        </w:rPr>
      </w:pPr>
      <w:r>
        <w:rPr>
          <w:rFonts w:hint="eastAsia" w:ascii="仿宋" w:hAnsi="仿宋" w:eastAsia="仿宋" w:cs="仿宋"/>
          <w:sz w:val="32"/>
          <w:szCs w:val="32"/>
        </w:rPr>
        <w:t>发挥中小学教师进修培训作用。乡中心学校负责制定并实施本乡中、小学教师继续教育，并针对性组织教师参加培训进修，更新教育观念，提高教师职业道德水平和教育教学能力。</w:t>
      </w:r>
    </w:p>
    <w:p w14:paraId="221F8D28">
      <w:pPr>
        <w:keepNext w:val="0"/>
        <w:keepLines w:val="0"/>
        <w:pageBreakBefore w:val="0"/>
        <w:numPr>
          <w:ilvl w:val="0"/>
          <w:numId w:val="2"/>
        </w:numPr>
        <w:overflowPunct/>
        <w:topLinePunct w:val="0"/>
        <w:bidi w:val="0"/>
        <w:spacing w:line="360" w:lineRule="auto"/>
        <w:ind w:left="0" w:firstLine="766"/>
        <w:rPr>
          <w:rFonts w:hint="eastAsia" w:ascii="仿宋" w:hAnsi="仿宋" w:eastAsia="仿宋" w:cs="仿宋"/>
          <w:sz w:val="32"/>
          <w:szCs w:val="32"/>
        </w:rPr>
      </w:pPr>
      <w:r>
        <w:rPr>
          <w:rFonts w:hint="eastAsia" w:ascii="仿宋" w:hAnsi="仿宋" w:eastAsia="仿宋" w:cs="仿宋"/>
          <w:sz w:val="32"/>
          <w:szCs w:val="32"/>
        </w:rPr>
        <w:t>管理中、小学学籍。建立全乡适龄儿童、少年档案，掌握全乡每学年适龄儿童、适龄少年人数，严格控制学生辍学，已入学学生建立学籍档案，并报教育行政部门备案。</w:t>
      </w:r>
    </w:p>
    <w:p w14:paraId="6D367E11">
      <w:pPr>
        <w:keepNext w:val="0"/>
        <w:keepLines w:val="0"/>
        <w:pageBreakBefore w:val="0"/>
        <w:numPr>
          <w:ilvl w:val="0"/>
          <w:numId w:val="2"/>
        </w:numPr>
        <w:overflowPunct/>
        <w:topLinePunct w:val="0"/>
        <w:bidi w:val="0"/>
        <w:spacing w:line="360" w:lineRule="auto"/>
        <w:ind w:left="0" w:firstLine="766"/>
        <w:rPr>
          <w:rFonts w:hint="eastAsia" w:ascii="仿宋" w:hAnsi="仿宋" w:eastAsia="仿宋" w:cs="仿宋"/>
          <w:sz w:val="32"/>
          <w:szCs w:val="32"/>
        </w:rPr>
      </w:pPr>
      <w:r>
        <w:rPr>
          <w:rFonts w:hint="eastAsia" w:ascii="仿宋" w:hAnsi="仿宋" w:eastAsia="仿宋" w:cs="仿宋"/>
          <w:sz w:val="32"/>
          <w:szCs w:val="32"/>
        </w:rPr>
        <w:t>负责本乡中、小学教师的教育教学业务档案的管理、教育统计、教师工资统计、学校报账。管理本部门教育经费；拟定教育经费筹措和管理的规定及财务管理制度；统计并监测全镇教育经费的筹措和使用情况。</w:t>
      </w:r>
    </w:p>
    <w:p w14:paraId="61296EFF">
      <w:pPr>
        <w:keepNext w:val="0"/>
        <w:keepLines w:val="0"/>
        <w:pageBreakBefore w:val="0"/>
        <w:numPr>
          <w:ilvl w:val="0"/>
          <w:numId w:val="2"/>
        </w:numPr>
        <w:overflowPunct/>
        <w:topLinePunct w:val="0"/>
        <w:bidi w:val="0"/>
        <w:spacing w:line="360" w:lineRule="auto"/>
        <w:ind w:left="0" w:firstLine="766"/>
        <w:rPr>
          <w:rFonts w:hint="eastAsia" w:ascii="仿宋" w:hAnsi="仿宋" w:eastAsia="仿宋" w:cs="仿宋"/>
          <w:sz w:val="32"/>
          <w:szCs w:val="32"/>
        </w:rPr>
      </w:pPr>
      <w:r>
        <w:rPr>
          <w:rFonts w:hint="eastAsia" w:ascii="仿宋" w:hAnsi="仿宋" w:eastAsia="仿宋" w:cs="仿宋"/>
          <w:sz w:val="32"/>
          <w:szCs w:val="32"/>
        </w:rPr>
        <w:t>协助乡政府组织发动学生入学，负责和协助学校做好社会治安综合治理及安全保卫工作。</w:t>
      </w:r>
    </w:p>
    <w:p w14:paraId="0E91A821">
      <w:pPr>
        <w:keepNext w:val="0"/>
        <w:keepLines w:val="0"/>
        <w:pageBreakBefore w:val="0"/>
        <w:numPr>
          <w:ilvl w:val="0"/>
          <w:numId w:val="2"/>
        </w:numPr>
        <w:overflowPunct/>
        <w:topLinePunct w:val="0"/>
        <w:bidi w:val="0"/>
        <w:spacing w:line="360" w:lineRule="auto"/>
        <w:ind w:left="0" w:firstLine="766"/>
        <w:rPr>
          <w:rFonts w:hint="eastAsia" w:ascii="仿宋" w:hAnsi="仿宋" w:eastAsia="仿宋" w:cs="仿宋"/>
          <w:sz w:val="32"/>
          <w:szCs w:val="32"/>
        </w:rPr>
      </w:pPr>
      <w:r>
        <w:rPr>
          <w:rFonts w:hint="eastAsia" w:ascii="仿宋" w:hAnsi="仿宋" w:eastAsia="仿宋" w:cs="仿宋"/>
          <w:sz w:val="32"/>
          <w:szCs w:val="32"/>
        </w:rPr>
        <w:t>协助教育行政部门做好教师编制核定、资格认定、职务评聘、调配和交流、培训和考核等工作。</w:t>
      </w:r>
    </w:p>
    <w:p w14:paraId="099557D0">
      <w:pPr>
        <w:keepNext w:val="0"/>
        <w:keepLines w:val="0"/>
        <w:pageBreakBefore w:val="0"/>
        <w:numPr>
          <w:ilvl w:val="0"/>
          <w:numId w:val="2"/>
        </w:numPr>
        <w:overflowPunct/>
        <w:topLinePunct w:val="0"/>
        <w:bidi w:val="0"/>
        <w:spacing w:line="360" w:lineRule="auto"/>
        <w:ind w:left="0" w:firstLine="766"/>
        <w:rPr>
          <w:rFonts w:hint="eastAsia" w:ascii="仿宋" w:hAnsi="仿宋" w:eastAsia="仿宋" w:cs="仿宋"/>
          <w:sz w:val="32"/>
          <w:szCs w:val="32"/>
        </w:rPr>
      </w:pPr>
      <w:r>
        <w:rPr>
          <w:rFonts w:hint="eastAsia" w:ascii="仿宋" w:hAnsi="仿宋" w:eastAsia="仿宋" w:cs="仿宋"/>
          <w:sz w:val="32"/>
          <w:szCs w:val="32"/>
        </w:rPr>
        <w:t>协助乡政府和教育行政部门做好学校布局调整和改造中小学危房等有关工作，</w:t>
      </w:r>
    </w:p>
    <w:p w14:paraId="631D5260">
      <w:pPr>
        <w:keepNext w:val="0"/>
        <w:keepLines w:val="0"/>
        <w:pageBreakBefore w:val="0"/>
        <w:numPr>
          <w:ilvl w:val="0"/>
          <w:numId w:val="2"/>
        </w:numPr>
        <w:overflowPunct/>
        <w:topLinePunct w:val="0"/>
        <w:bidi w:val="0"/>
        <w:spacing w:line="360" w:lineRule="auto"/>
        <w:ind w:left="0" w:firstLine="766"/>
        <w:rPr>
          <w:rFonts w:hint="eastAsia" w:ascii="仿宋" w:hAnsi="仿宋" w:eastAsia="仿宋" w:cs="仿宋"/>
          <w:sz w:val="32"/>
          <w:szCs w:val="32"/>
        </w:rPr>
      </w:pPr>
      <w:r>
        <w:rPr>
          <w:rFonts w:hint="eastAsia" w:ascii="仿宋" w:hAnsi="仿宋" w:eastAsia="仿宋" w:cs="仿宋"/>
          <w:sz w:val="32"/>
          <w:szCs w:val="32"/>
        </w:rPr>
        <w:t>在教育行政部门的指导下，负责组织中小学毕业考试、教育教学质量监测评估工作。</w:t>
      </w:r>
    </w:p>
    <w:p w14:paraId="24B6D48E">
      <w:pPr>
        <w:keepNext w:val="0"/>
        <w:keepLines w:val="0"/>
        <w:pageBreakBefore w:val="0"/>
        <w:numPr>
          <w:ilvl w:val="0"/>
          <w:numId w:val="2"/>
        </w:numPr>
        <w:overflowPunct/>
        <w:topLinePunct w:val="0"/>
        <w:bidi w:val="0"/>
        <w:spacing w:line="360" w:lineRule="auto"/>
        <w:ind w:left="0" w:firstLine="766"/>
        <w:rPr>
          <w:rFonts w:hint="eastAsia" w:ascii="仿宋" w:hAnsi="仿宋" w:eastAsia="仿宋" w:cs="仿宋"/>
          <w:sz w:val="32"/>
          <w:szCs w:val="32"/>
        </w:rPr>
      </w:pPr>
      <w:r>
        <w:rPr>
          <w:rFonts w:hint="eastAsia" w:ascii="仿宋" w:hAnsi="仿宋" w:eastAsia="仿宋" w:cs="仿宋"/>
          <w:sz w:val="32"/>
          <w:szCs w:val="32"/>
        </w:rPr>
        <w:t>自觉接受县教育体育局、乡党委、政府及党总支的监督与指导，积极承办镇政府及上级主管部门交办的其他事项。</w:t>
      </w:r>
    </w:p>
    <w:p w14:paraId="10460A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二、预算单位构成</w:t>
      </w:r>
    </w:p>
    <w:p w14:paraId="30F601DC">
      <w:pPr>
        <w:keepNext w:val="0"/>
        <w:keepLines w:val="0"/>
        <w:pageBreakBefore w:val="0"/>
        <w:overflowPunct/>
        <w:topLinePunct w:val="0"/>
        <w:bidi w:val="0"/>
        <w:spacing w:line="360" w:lineRule="auto"/>
        <w:ind w:firstLine="640" w:firstLineChars="200"/>
        <w:rPr>
          <w:rFonts w:hint="eastAsia" w:ascii="仿宋" w:hAnsi="仿宋" w:eastAsia="仿宋" w:cs="仿宋"/>
          <w:kern w:val="0"/>
          <w:sz w:val="32"/>
          <w:szCs w:val="32"/>
          <w:lang w:eastAsia="zh-CN"/>
        </w:rPr>
      </w:pPr>
      <w:r>
        <w:rPr>
          <w:rFonts w:hint="eastAsia" w:ascii="仿宋" w:hAnsi="仿宋" w:eastAsia="仿宋" w:cs="仿宋"/>
          <w:sz w:val="32"/>
          <w:szCs w:val="32"/>
          <w:lang w:eastAsia="zh-CN"/>
        </w:rPr>
        <w:t>鹿邑县穆店乡中心学校</w:t>
      </w:r>
      <w:r>
        <w:rPr>
          <w:rFonts w:hint="eastAsia" w:ascii="仿宋" w:hAnsi="仿宋" w:eastAsia="仿宋" w:cs="仿宋"/>
          <w:bCs/>
          <w:sz w:val="32"/>
          <w:szCs w:val="32"/>
        </w:rPr>
        <w:t>为二级预算单位，本</w:t>
      </w:r>
      <w:r>
        <w:rPr>
          <w:rFonts w:hint="eastAsia" w:ascii="仿宋" w:hAnsi="仿宋" w:eastAsia="仿宋" w:cs="仿宋"/>
          <w:bCs/>
          <w:sz w:val="32"/>
          <w:szCs w:val="32"/>
          <w:lang w:val="en-US" w:eastAsia="zh-CN"/>
        </w:rPr>
        <w:t>预算</w:t>
      </w:r>
      <w:r>
        <w:rPr>
          <w:rFonts w:hint="eastAsia" w:ascii="仿宋" w:hAnsi="仿宋" w:eastAsia="仿宋" w:cs="仿宋"/>
          <w:bCs/>
          <w:sz w:val="32"/>
          <w:szCs w:val="32"/>
        </w:rPr>
        <w:t>为</w:t>
      </w:r>
      <w:r>
        <w:rPr>
          <w:rFonts w:hint="eastAsia" w:ascii="仿宋" w:hAnsi="仿宋" w:eastAsia="仿宋" w:cs="仿宋"/>
          <w:sz w:val="32"/>
          <w:szCs w:val="32"/>
          <w:lang w:eastAsia="zh-CN"/>
        </w:rPr>
        <w:t>鹿邑县穆店乡中心学校</w:t>
      </w:r>
      <w:r>
        <w:rPr>
          <w:rFonts w:hint="eastAsia" w:ascii="仿宋" w:hAnsi="仿宋" w:eastAsia="仿宋" w:cs="仿宋"/>
          <w:sz w:val="32"/>
          <w:szCs w:val="32"/>
          <w:lang w:val="en-US" w:eastAsia="zh-CN"/>
        </w:rPr>
        <w:t>本级预算</w:t>
      </w:r>
      <w:r>
        <w:rPr>
          <w:rFonts w:hint="eastAsia" w:ascii="仿宋" w:hAnsi="仿宋" w:eastAsia="仿宋" w:cs="仿宋"/>
          <w:bCs/>
          <w:sz w:val="32"/>
          <w:szCs w:val="32"/>
        </w:rPr>
        <w:t>。</w:t>
      </w:r>
    </w:p>
    <w:p w14:paraId="7502D1B9">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p>
    <w:p w14:paraId="2B73B4EE">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143CABF1">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鹿邑县穆店乡中心学校2024年单位预算情况说明</w:t>
      </w:r>
    </w:p>
    <w:p w14:paraId="48D1FB6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125F9DC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鹿邑县穆店乡中心学校单位2024年收入总计3757.93万元，支出总计3757.93万元，与2023年预算相比，收、支总计增加29.25万元，增长0.78%，主要原因是：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660C0A6C">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4734560" cy="3319145"/>
            <wp:effectExtent l="4445" t="4445" r="10795" b="1651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E9DF51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5CC01F8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鹿邑县穆店乡中心学校单位2024年收入合计3757.93万元，其中：</w:t>
      </w:r>
      <w:r>
        <w:rPr>
          <w:rFonts w:hint="eastAsia" w:ascii="仿宋" w:hAnsi="仿宋" w:eastAsia="仿宋" w:cs="仿宋"/>
          <w:snapToGrid/>
          <w:color w:val="000000"/>
          <w:kern w:val="2"/>
          <w:sz w:val="32"/>
          <w:szCs w:val="32"/>
          <w:highlight w:val="none"/>
          <w:lang w:val="en-US" w:eastAsia="zh-CN" w:bidi="ar-SA"/>
        </w:rPr>
        <w:t>一般公共预算收入</w:t>
      </w:r>
      <w:r>
        <w:rPr>
          <w:rFonts w:hint="eastAsia" w:ascii="仿宋" w:hAnsi="仿宋" w:eastAsia="仿宋" w:cs="仿宋"/>
          <w:snapToGrid/>
          <w:kern w:val="2"/>
          <w:sz w:val="32"/>
          <w:szCs w:val="32"/>
          <w:highlight w:val="none"/>
          <w:lang w:val="en-US" w:eastAsia="zh-CN" w:bidi="ar-SA"/>
        </w:rPr>
        <w:t>2922.74</w:t>
      </w:r>
      <w:r>
        <w:rPr>
          <w:rFonts w:hint="eastAsia" w:ascii="仿宋" w:hAnsi="仿宋" w:eastAsia="仿宋" w:cs="仿宋"/>
          <w:snapToGrid/>
          <w:color w:val="000000"/>
          <w:kern w:val="2"/>
          <w:sz w:val="32"/>
          <w:szCs w:val="32"/>
          <w:highlight w:val="none"/>
          <w:lang w:val="en-US" w:eastAsia="zh-CN" w:bidi="ar-SA"/>
        </w:rPr>
        <w:t>万元;政府性基金收入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835.19</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p>
    <w:p w14:paraId="2359A92C">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813300" cy="3222625"/>
            <wp:effectExtent l="5080" t="5080" r="7620" b="1079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E50F73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center"/>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7CA8ED9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鹿邑县穆店乡中心学校单位2024年支出合计3757.93万元，其中：基本支出2836.49万元，占75.48%；项目支出921.44万元，占24.52%。</w:t>
      </w:r>
    </w:p>
    <w:p w14:paraId="5D4A58D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4925060" cy="3422650"/>
            <wp:effectExtent l="4445" t="4445" r="1079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C18FC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03A63D4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鹿邑县穆店乡中心学校单位2024年一般公共预算收支预算3757.93万元，政府性基金收支预算0.00万元，国有资本经营预算0.00万元。与2023年相比，一般公共预算收支预算增加29.25万元，增长0.78%，主要原因是：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；政府性基金收支预算持平，主要原因是：；国有资本经营预算持平，主要原因是：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654566E0">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082540" cy="3531235"/>
            <wp:effectExtent l="4445" t="4445" r="5715" b="7620"/>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747A0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46E99582">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鹿邑县穆店乡中心学校单位2024年一般公共预算支出年初预算为2922.74万元。其中</w:t>
      </w:r>
      <w:r>
        <w:rPr>
          <w:rFonts w:hint="eastAsia" w:ascii="仿宋" w:hAnsi="仿宋" w:eastAsia="仿宋" w:cs="仿宋"/>
          <w:sz w:val="32"/>
          <w:szCs w:val="32"/>
          <w:highlight w:val="none"/>
          <w:lang w:val="en-US" w:eastAsia="zh-CN"/>
        </w:rPr>
        <w:t>基本支出2836.49万元，占97.05%；项目支出86.25万元，占2.95%</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594CE963">
      <w:pPr>
        <w:spacing w:line="592"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、教育支出</w:t>
      </w:r>
      <w:r>
        <w:rPr>
          <w:rFonts w:hint="eastAsia" w:ascii="仿宋" w:hAnsi="仿宋" w:eastAsia="仿宋" w:cs="仿宋"/>
          <w:color w:val="000000"/>
          <w:sz w:val="32"/>
          <w:szCs w:val="32"/>
          <w:lang w:val="en-US" w:eastAsia="zh-CN"/>
        </w:rPr>
        <w:t>2137.96</w:t>
      </w:r>
      <w:r>
        <w:rPr>
          <w:rFonts w:hint="eastAsia" w:ascii="仿宋" w:hAnsi="仿宋" w:eastAsia="仿宋" w:cs="仿宋"/>
          <w:sz w:val="32"/>
          <w:szCs w:val="32"/>
        </w:rPr>
        <w:t>万元，占</w:t>
      </w:r>
      <w:r>
        <w:rPr>
          <w:rFonts w:hint="eastAsia" w:ascii="仿宋" w:hAnsi="仿宋" w:eastAsia="仿宋" w:cs="仿宋"/>
          <w:color w:val="000000"/>
          <w:sz w:val="32"/>
          <w:szCs w:val="32"/>
          <w:lang w:val="en-US" w:eastAsia="zh-CN"/>
        </w:rPr>
        <w:t>73.15</w:t>
      </w:r>
      <w:r>
        <w:rPr>
          <w:rFonts w:hint="eastAsia" w:ascii="仿宋" w:hAnsi="仿宋" w:eastAsia="仿宋" w:cs="仿宋"/>
          <w:sz w:val="32"/>
          <w:szCs w:val="32"/>
        </w:rPr>
        <w:t>%。其中：</w:t>
      </w:r>
      <w:r>
        <w:rPr>
          <w:rFonts w:hint="eastAsia" w:ascii="仿宋" w:hAnsi="仿宋" w:eastAsia="仿宋" w:cs="仿宋_GB2312"/>
          <w:sz w:val="32"/>
          <w:szCs w:val="32"/>
        </w:rPr>
        <w:t>普通教育</w:t>
      </w:r>
      <w:r>
        <w:rPr>
          <w:rFonts w:hint="eastAsia" w:ascii="仿宋" w:hAnsi="仿宋" w:eastAsia="仿宋" w:cs="仿宋_GB2312"/>
          <w:kern w:val="0"/>
          <w:sz w:val="32"/>
          <w:szCs w:val="32"/>
        </w:rPr>
        <w:t>（款）小学教育</w:t>
      </w:r>
      <w:r>
        <w:rPr>
          <w:rFonts w:hint="eastAsia" w:ascii="仿宋" w:hAnsi="仿宋" w:eastAsia="仿宋" w:cs="仿宋_GB2312"/>
          <w:sz w:val="32"/>
          <w:szCs w:val="32"/>
        </w:rPr>
        <w:t>（项）支出</w:t>
      </w:r>
      <w:r>
        <w:rPr>
          <w:rFonts w:hint="eastAsia" w:ascii="仿宋" w:hAnsi="仿宋" w:eastAsia="仿宋" w:cs="仿宋"/>
          <w:color w:val="000000"/>
          <w:sz w:val="32"/>
          <w:szCs w:val="32"/>
          <w:lang w:val="en-US" w:eastAsia="zh-CN"/>
        </w:rPr>
        <w:t>2137.96</w:t>
      </w:r>
      <w:r>
        <w:rPr>
          <w:rFonts w:hint="eastAsia" w:ascii="仿宋" w:hAnsi="仿宋" w:eastAsia="仿宋" w:cs="仿宋"/>
          <w:sz w:val="32"/>
          <w:szCs w:val="32"/>
          <w:lang w:val="en-US" w:eastAsia="zh-CN"/>
        </w:rPr>
        <w:t>万元。</w:t>
      </w:r>
    </w:p>
    <w:p w14:paraId="4A1005B9">
      <w:pPr>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、社会保障和就业支出</w:t>
      </w:r>
      <w:r>
        <w:rPr>
          <w:rFonts w:hint="eastAsia" w:ascii="仿宋" w:hAnsi="仿宋" w:eastAsia="仿宋" w:cs="仿宋"/>
          <w:color w:val="000000"/>
          <w:sz w:val="32"/>
          <w:szCs w:val="32"/>
          <w:lang w:val="en-US" w:eastAsia="zh-CN"/>
        </w:rPr>
        <w:t>376.76</w:t>
      </w:r>
      <w:r>
        <w:rPr>
          <w:rFonts w:hint="eastAsia" w:ascii="仿宋" w:hAnsi="仿宋" w:eastAsia="仿宋" w:cs="仿宋"/>
          <w:sz w:val="32"/>
          <w:szCs w:val="32"/>
        </w:rPr>
        <w:t>万元，占</w:t>
      </w:r>
      <w:r>
        <w:rPr>
          <w:rFonts w:hint="eastAsia" w:ascii="仿宋" w:hAnsi="仿宋" w:eastAsia="仿宋" w:cs="仿宋"/>
          <w:sz w:val="32"/>
          <w:szCs w:val="32"/>
          <w:lang w:val="en-US" w:eastAsia="zh-CN"/>
        </w:rPr>
        <w:t>12.89</w:t>
      </w:r>
      <w:r>
        <w:rPr>
          <w:rFonts w:hint="eastAsia" w:ascii="仿宋" w:hAnsi="仿宋" w:eastAsia="仿宋" w:cs="仿宋"/>
          <w:sz w:val="32"/>
          <w:szCs w:val="32"/>
        </w:rPr>
        <w:t>%。其中：</w:t>
      </w:r>
      <w:r>
        <w:rPr>
          <w:rFonts w:hint="eastAsia" w:ascii="仿宋" w:hAnsi="仿宋" w:eastAsia="仿宋" w:cs="Arial"/>
          <w:color w:val="000000"/>
          <w:sz w:val="32"/>
          <w:szCs w:val="32"/>
        </w:rPr>
        <w:t>行政事业单位养老支出（款）机关事业单位基本养老保险缴费支出（项）支出</w:t>
      </w:r>
      <w:r>
        <w:rPr>
          <w:rFonts w:hint="eastAsia" w:ascii="仿宋" w:hAnsi="仿宋" w:eastAsia="仿宋" w:cs="仿宋"/>
          <w:color w:val="000000"/>
          <w:sz w:val="32"/>
          <w:szCs w:val="32"/>
          <w:lang w:val="en-US" w:eastAsia="zh-CN"/>
        </w:rPr>
        <w:t>278.73</w:t>
      </w:r>
      <w:r>
        <w:rPr>
          <w:rFonts w:hint="eastAsia" w:ascii="仿宋" w:hAnsi="仿宋" w:eastAsia="仿宋" w:cs="仿宋"/>
          <w:sz w:val="32"/>
          <w:szCs w:val="32"/>
        </w:rPr>
        <w:t>万</w:t>
      </w:r>
      <w:bookmarkStart w:id="1" w:name="_Hlk115266014"/>
      <w:r>
        <w:rPr>
          <w:rFonts w:hint="eastAsia" w:ascii="仿宋" w:hAnsi="仿宋" w:eastAsia="仿宋" w:cs="仿宋"/>
          <w:sz w:val="32"/>
          <w:szCs w:val="32"/>
        </w:rPr>
        <w:t>元；</w:t>
      </w:r>
      <w:bookmarkEnd w:id="1"/>
      <w:r>
        <w:rPr>
          <w:rFonts w:hint="eastAsia" w:ascii="仿宋" w:hAnsi="仿宋" w:eastAsia="仿宋" w:cs="Arial"/>
          <w:color w:val="000000"/>
          <w:sz w:val="32"/>
          <w:szCs w:val="32"/>
        </w:rPr>
        <w:t>其他社会保障和就业（款）其他社会保障和就业（项）支出</w:t>
      </w:r>
      <w:r>
        <w:rPr>
          <w:rFonts w:hint="eastAsia" w:ascii="仿宋" w:hAnsi="仿宋" w:eastAsia="仿宋" w:cs="仿宋"/>
          <w:color w:val="000000"/>
          <w:sz w:val="32"/>
          <w:szCs w:val="32"/>
          <w:lang w:val="en-US" w:eastAsia="zh-CN"/>
        </w:rPr>
        <w:t>98.03</w:t>
      </w:r>
      <w:r>
        <w:rPr>
          <w:rFonts w:hint="eastAsia" w:ascii="仿宋" w:hAnsi="仿宋" w:eastAsia="仿宋" w:cs="仿宋"/>
          <w:sz w:val="32"/>
          <w:szCs w:val="32"/>
        </w:rPr>
        <w:t>万元；</w:t>
      </w:r>
    </w:p>
    <w:p w14:paraId="3728CB40">
      <w:pPr>
        <w:spacing w:line="592" w:lineRule="exact"/>
        <w:ind w:firstLine="640" w:firstLineChars="200"/>
        <w:rPr>
          <w:rFonts w:ascii="仿宋" w:hAnsi="仿宋" w:eastAsia="仿宋" w:cs="Arial"/>
          <w:color w:val="000000"/>
          <w:sz w:val="32"/>
          <w:szCs w:val="32"/>
        </w:rPr>
      </w:pPr>
      <w:r>
        <w:rPr>
          <w:rFonts w:hint="eastAsia" w:ascii="仿宋" w:hAnsi="仿宋" w:eastAsia="仿宋" w:cs="仿宋"/>
          <w:sz w:val="32"/>
          <w:szCs w:val="32"/>
        </w:rPr>
        <w:t>3、卫生健康支出</w:t>
      </w:r>
      <w:r>
        <w:rPr>
          <w:rFonts w:hint="eastAsia" w:ascii="仿宋" w:hAnsi="仿宋" w:eastAsia="仿宋" w:cs="仿宋"/>
          <w:color w:val="000000"/>
          <w:sz w:val="32"/>
          <w:szCs w:val="32"/>
          <w:lang w:val="en-US" w:eastAsia="zh-CN"/>
        </w:rPr>
        <w:t>173.67</w:t>
      </w:r>
      <w:r>
        <w:rPr>
          <w:rFonts w:hint="eastAsia" w:ascii="仿宋" w:hAnsi="仿宋" w:eastAsia="仿宋" w:cs="仿宋"/>
          <w:sz w:val="32"/>
          <w:szCs w:val="32"/>
        </w:rPr>
        <w:t>万元，占</w:t>
      </w:r>
      <w:r>
        <w:rPr>
          <w:rFonts w:hint="eastAsia" w:ascii="仿宋" w:hAnsi="仿宋" w:eastAsia="仿宋" w:cs="仿宋"/>
          <w:color w:val="000000"/>
          <w:sz w:val="32"/>
          <w:szCs w:val="32"/>
          <w:lang w:val="en-US" w:eastAsia="zh-CN"/>
        </w:rPr>
        <w:t>5.94</w:t>
      </w:r>
      <w:r>
        <w:rPr>
          <w:rFonts w:hint="eastAsia" w:ascii="仿宋" w:hAnsi="仿宋" w:eastAsia="仿宋" w:cs="仿宋"/>
          <w:sz w:val="32"/>
          <w:szCs w:val="32"/>
        </w:rPr>
        <w:t>%。其中：</w:t>
      </w:r>
      <w:r>
        <w:rPr>
          <w:rFonts w:hint="eastAsia" w:ascii="仿宋" w:hAnsi="仿宋" w:eastAsia="仿宋" w:cs="Arial"/>
          <w:color w:val="000000"/>
          <w:sz w:val="32"/>
          <w:szCs w:val="32"/>
        </w:rPr>
        <w:t>行政事业单位医疗（款）事业单位医疗（项）支出</w:t>
      </w:r>
      <w:r>
        <w:rPr>
          <w:rFonts w:hint="eastAsia" w:ascii="仿宋" w:hAnsi="仿宋" w:eastAsia="仿宋" w:cs="Arial"/>
          <w:color w:val="000000"/>
          <w:sz w:val="32"/>
          <w:szCs w:val="32"/>
          <w:lang w:val="en-US" w:eastAsia="zh-CN"/>
        </w:rPr>
        <w:t>113.34</w:t>
      </w:r>
      <w:r>
        <w:rPr>
          <w:rFonts w:hint="eastAsia" w:ascii="仿宋" w:hAnsi="仿宋" w:eastAsia="仿宋" w:cs="Arial"/>
          <w:color w:val="000000"/>
          <w:sz w:val="32"/>
          <w:szCs w:val="32"/>
        </w:rPr>
        <w:t>万元；行政事业单位医疗（款）其他行政事业单位医疗（项）支出</w:t>
      </w:r>
      <w:r>
        <w:rPr>
          <w:rFonts w:hint="eastAsia" w:ascii="仿宋" w:hAnsi="仿宋" w:eastAsia="仿宋" w:cs="Arial"/>
          <w:color w:val="000000"/>
          <w:sz w:val="32"/>
          <w:szCs w:val="32"/>
          <w:lang w:val="en-US" w:eastAsia="zh-CN"/>
        </w:rPr>
        <w:t>60.33</w:t>
      </w:r>
      <w:r>
        <w:rPr>
          <w:rFonts w:hint="eastAsia" w:ascii="仿宋" w:hAnsi="仿宋" w:eastAsia="仿宋" w:cs="Arial"/>
          <w:color w:val="000000"/>
          <w:sz w:val="32"/>
          <w:szCs w:val="32"/>
        </w:rPr>
        <w:t>万元。</w:t>
      </w:r>
    </w:p>
    <w:p w14:paraId="73A5E43E">
      <w:pPr>
        <w:spacing w:line="592"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、住房保障支出</w:t>
      </w:r>
      <w:r>
        <w:rPr>
          <w:rFonts w:hint="eastAsia" w:ascii="仿宋" w:hAnsi="仿宋" w:eastAsia="仿宋" w:cs="仿宋"/>
          <w:color w:val="000000"/>
          <w:sz w:val="32"/>
          <w:szCs w:val="32"/>
          <w:lang w:val="en-US" w:eastAsia="zh-CN"/>
        </w:rPr>
        <w:t>234.35</w:t>
      </w:r>
      <w:r>
        <w:rPr>
          <w:rFonts w:hint="eastAsia" w:ascii="仿宋" w:hAnsi="仿宋" w:eastAsia="仿宋" w:cs="仿宋"/>
          <w:sz w:val="32"/>
          <w:szCs w:val="32"/>
        </w:rPr>
        <w:t>万元，占</w:t>
      </w:r>
      <w:r>
        <w:rPr>
          <w:rFonts w:hint="eastAsia" w:ascii="仿宋" w:hAnsi="仿宋" w:eastAsia="仿宋" w:cs="仿宋"/>
          <w:color w:val="000000"/>
          <w:sz w:val="32"/>
          <w:szCs w:val="32"/>
          <w:lang w:val="en-US" w:eastAsia="zh-CN"/>
        </w:rPr>
        <w:t>8.02</w:t>
      </w:r>
      <w:r>
        <w:rPr>
          <w:rFonts w:hint="eastAsia" w:ascii="仿宋" w:hAnsi="仿宋" w:eastAsia="仿宋" w:cs="仿宋"/>
          <w:sz w:val="32"/>
          <w:szCs w:val="32"/>
        </w:rPr>
        <w:t>%。其中：</w:t>
      </w:r>
      <w:r>
        <w:rPr>
          <w:rFonts w:hint="eastAsia" w:ascii="仿宋" w:hAnsi="仿宋" w:eastAsia="仿宋" w:cs="仿宋"/>
          <w:sz w:val="32"/>
          <w:szCs w:val="32"/>
          <w:lang w:eastAsia="zh-CN"/>
        </w:rPr>
        <w:t>住房公积金</w:t>
      </w:r>
      <w:r>
        <w:rPr>
          <w:rFonts w:hint="eastAsia" w:ascii="仿宋" w:hAnsi="仿宋" w:eastAsia="仿宋" w:cs="仿宋"/>
          <w:sz w:val="32"/>
          <w:szCs w:val="32"/>
          <w:lang w:val="en-US" w:eastAsia="zh-CN"/>
        </w:rPr>
        <w:t>234.35万元。</w:t>
      </w:r>
    </w:p>
    <w:p w14:paraId="3D5CEFCE">
      <w:pPr>
        <w:spacing w:line="240" w:lineRule="auto"/>
        <w:ind w:firstLine="0" w:firstLineChars="0"/>
        <w:jc w:val="center"/>
        <w:rPr>
          <w:rFonts w:hint="eastAsia"/>
          <w:lang w:val="en-US" w:eastAsia="zh-CN"/>
        </w:rPr>
      </w:pPr>
      <w:r>
        <w:drawing>
          <wp:inline distT="0" distB="0" distL="114300" distR="114300">
            <wp:extent cx="5281930" cy="3902075"/>
            <wp:effectExtent l="4445" t="4445" r="9525" b="5080"/>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5FF16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1D5FE9A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鹿邑县穆店乡中心学校单位2024年一般公共预算基本支出年初预算为2836.49万元，其中：人员经费支出2836.49万元，占100.00%；公用经费支出0.00万元，占0.00%。</w:t>
      </w:r>
    </w:p>
    <w:p w14:paraId="34D2254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396230" cy="3719195"/>
            <wp:effectExtent l="4445" t="4445" r="9525" b="1016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CB189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185E108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中心学校单位2024年一般公共预算基本支出年初预算为2836.49万元，其中：人员经费支出2836.49万元，占100.00%；主要包括：基本工资1383.92万元、津贴补贴277.71万元、绩效工资349.50万元、机关事业单位基本养老保险缴费278.73万元、医疗保险缴费113.34万元、其他社会保障缴费78.53万元、住房公积金234.35万元、退休费40.58万元、生活补助补助79.83万元。公用经费支出0.00万元，占0.00%。</w:t>
      </w:r>
    </w:p>
    <w:p w14:paraId="7D81666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740C8962">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鹿邑县穆店乡中心学校2024年单位机构运行经费支出预算0.00万元，主要保障机关机构正常运转及正常履职需要的办公费、水电费、物业费、维修费、差旅费等支出，与2023年相比持平，主要原因：</w:t>
      </w:r>
      <w:r>
        <w:rPr>
          <w:rFonts w:hint="eastAsia" w:ascii="仿宋_GB2312" w:hAnsi="Times New Roman" w:eastAsia="仿宋_GB2312" w:cs="仿宋_GB2312"/>
          <w:kern w:val="2"/>
          <w:sz w:val="32"/>
          <w:szCs w:val="32"/>
          <w:highlight w:val="yellow"/>
          <w:lang w:val="en-US" w:eastAsia="zh-CN"/>
        </w:rPr>
        <w:t>******</w:t>
      </w:r>
      <w:r>
        <w:rPr>
          <w:rFonts w:hint="eastAsia" w:ascii="仿宋_GB2312" w:hAnsi="Times New Roman" w:eastAsia="仿宋_GB2312" w:cs="仿宋_GB2312"/>
          <w:kern w:val="2"/>
          <w:sz w:val="32"/>
          <w:szCs w:val="32"/>
          <w:highlight w:val="none"/>
          <w:lang w:val="en-US" w:eastAsia="zh-CN"/>
        </w:rPr>
        <w:t>。</w:t>
      </w:r>
    </w:p>
    <w:p w14:paraId="1F9A7BB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16940D51">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穆店乡中心学校2024年单位预算支出3757.93万元，其中：301工资福利支出3353.88万元，主要包括：基本工资1736.38万元、津贴补贴277.72万元、绩效工资349.50万元、基本养老保险缴费564.07万元、医疗保险缴费113.34万元、其他社会保障缴费78.53万元、住房公积金234.35万元；302商品和服务支出205.40万元，主要包括：办公费205.40万元；303对个人和家庭的补助支出198.65万元，主要包括：生活补助95.58万元、、退休费50.74万元、其他对个人和家庭的补助52.33万元等。</w:t>
      </w:r>
    </w:p>
    <w:p w14:paraId="5896D6D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2217265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鹿邑县穆店乡中心学校单位2024年“三公”经费预算为0.00万元。2024年“三公”经费支出预算数较2023年持平，主要原因是：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76818BC7">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3D2AD8B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1E49176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133FDF3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2C5C3D9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36529C6D">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鹿邑县穆店乡中心学校2024年无政府性基金预算拨款安排的支出。</w:t>
      </w:r>
    </w:p>
    <w:p w14:paraId="14737A3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09EBFF8B">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鹿邑县穆店乡中心学校2024年无国有资本经营预算拨款安排的支出。</w:t>
      </w:r>
    </w:p>
    <w:p w14:paraId="501766D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53F2540F">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2024年政府采购预算安排0.00万元，其中：政府采购货物预算0.00万元、政府采购工程预算0.00万元、政府采购服务预算0.00万元。</w:t>
      </w:r>
    </w:p>
    <w:p w14:paraId="42495D3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031D43B2">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我单位纳入预算绩效管理的支出总额为3757.93万元，其中：人员经费支出2836.49万元，公用经费支出0.00万元，项目支出总额921.44万元。支出项目共11个，其中：预算支出100万元及100万元以上的重点项目3个，支出总额730.11万元。均按要求编制了绩效目标，从项目产出、项目效益、满意度等方面设置了绩效指标，综合反映项目预期完成的数量、实效、质量，预期达到的社会经济效益、可持续影响以及服务对象满意度等情况。</w:t>
      </w:r>
    </w:p>
    <w:p w14:paraId="1B3A92E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4426384B">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32D1E977">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年期末，鹿邑县</w:t>
      </w:r>
      <w:r>
        <w:rPr>
          <w:rFonts w:hint="eastAsia" w:ascii="仿宋_GB2312" w:hAnsi="仿宋_GB2312" w:eastAsia="仿宋_GB2312" w:cs="仿宋_GB2312"/>
          <w:sz w:val="32"/>
          <w:szCs w:val="32"/>
          <w:lang w:val="en-US" w:eastAsia="zh-CN"/>
        </w:rPr>
        <w:t>穆店乡</w:t>
      </w:r>
      <w:r>
        <w:rPr>
          <w:rFonts w:hint="eastAsia" w:ascii="仿宋_GB2312" w:hAnsi="仿宋_GB2312" w:eastAsia="仿宋_GB2312" w:cs="仿宋_GB2312"/>
          <w:sz w:val="32"/>
          <w:szCs w:val="32"/>
        </w:rPr>
        <w:t>中心学校</w:t>
      </w:r>
      <w:r>
        <w:rPr>
          <w:rFonts w:hint="eastAsia" w:ascii="仿宋_GB2312" w:hAnsi="仿宋_GB2312" w:eastAsia="仿宋_GB2312" w:cs="仿宋_GB2312"/>
          <w:color w:val="000000"/>
          <w:kern w:val="0"/>
          <w:sz w:val="32"/>
          <w:szCs w:val="32"/>
        </w:rPr>
        <w:t>固定资产总额</w:t>
      </w:r>
      <w:r>
        <w:rPr>
          <w:rFonts w:hint="eastAsia" w:ascii="仿宋_GB2312" w:hAnsi="仿宋_GB2312" w:eastAsia="仿宋_GB2312" w:cs="仿宋_GB2312"/>
          <w:color w:val="000000"/>
          <w:kern w:val="0"/>
          <w:sz w:val="32"/>
          <w:szCs w:val="32"/>
          <w:highlight w:val="yellow"/>
          <w:lang w:val="en-US" w:eastAsia="zh-CN"/>
        </w:rPr>
        <w:t>*****</w:t>
      </w:r>
      <w:r>
        <w:rPr>
          <w:rFonts w:hint="eastAsia" w:ascii="仿宋_GB2312" w:hAnsi="仿宋_GB2312" w:eastAsia="仿宋_GB2312" w:cs="仿宋_GB2312"/>
          <w:color w:val="000000"/>
          <w:kern w:val="0"/>
          <w:sz w:val="32"/>
          <w:szCs w:val="32"/>
        </w:rPr>
        <w:t>万元，其中，房屋建筑物</w:t>
      </w:r>
      <w:r>
        <w:rPr>
          <w:rFonts w:hint="eastAsia" w:ascii="仿宋_GB2312" w:hAnsi="仿宋_GB2312" w:eastAsia="仿宋_GB2312" w:cs="仿宋_GB2312"/>
          <w:color w:val="000000"/>
          <w:kern w:val="0"/>
          <w:sz w:val="32"/>
          <w:szCs w:val="32"/>
          <w:highlight w:val="yellow"/>
          <w:lang w:val="en-US" w:eastAsia="zh-CN"/>
        </w:rPr>
        <w:t>*****</w:t>
      </w:r>
      <w:r>
        <w:rPr>
          <w:rFonts w:hint="eastAsia" w:ascii="仿宋_GB2312" w:hAnsi="仿宋_GB2312" w:eastAsia="仿宋_GB2312" w:cs="仿宋_GB2312"/>
          <w:color w:val="000000"/>
          <w:kern w:val="0"/>
          <w:sz w:val="32"/>
          <w:szCs w:val="32"/>
        </w:rPr>
        <w:t>万元，车辆</w:t>
      </w:r>
      <w:r>
        <w:rPr>
          <w:rFonts w:hint="eastAsia" w:ascii="仿宋_GB2312" w:hAnsi="仿宋_GB2312" w:eastAsia="仿宋_GB2312" w:cs="仿宋_GB2312"/>
          <w:color w:val="000000"/>
          <w:kern w:val="0"/>
          <w:sz w:val="32"/>
          <w:szCs w:val="32"/>
          <w:highlight w:val="yellow"/>
          <w:lang w:val="en-US" w:eastAsia="zh-CN"/>
        </w:rPr>
        <w:t>*****</w:t>
      </w:r>
      <w:r>
        <w:rPr>
          <w:rFonts w:hint="eastAsia" w:ascii="仿宋_GB2312" w:hAnsi="仿宋_GB2312" w:eastAsia="仿宋_GB2312" w:cs="仿宋_GB2312"/>
          <w:color w:val="000000"/>
          <w:kern w:val="0"/>
          <w:sz w:val="32"/>
          <w:szCs w:val="32"/>
        </w:rPr>
        <w:t>万元，办公设备</w:t>
      </w:r>
      <w:r>
        <w:rPr>
          <w:rFonts w:hint="eastAsia" w:ascii="仿宋_GB2312" w:hAnsi="仿宋_GB2312" w:eastAsia="仿宋_GB2312" w:cs="仿宋_GB2312"/>
          <w:color w:val="000000"/>
          <w:kern w:val="0"/>
          <w:sz w:val="32"/>
          <w:szCs w:val="32"/>
          <w:highlight w:val="yellow"/>
          <w:lang w:val="en-US" w:eastAsia="zh-CN"/>
        </w:rPr>
        <w:t>*****</w:t>
      </w:r>
      <w:r>
        <w:rPr>
          <w:rFonts w:hint="eastAsia" w:ascii="仿宋_GB2312" w:hAnsi="仿宋_GB2312" w:eastAsia="仿宋_GB2312" w:cs="仿宋_GB2312"/>
          <w:color w:val="000000"/>
          <w:kern w:val="0"/>
          <w:sz w:val="32"/>
          <w:szCs w:val="32"/>
        </w:rPr>
        <w:t>万元。车辆共有</w:t>
      </w:r>
      <w:r>
        <w:rPr>
          <w:rFonts w:hint="eastAsia" w:ascii="仿宋_GB2312" w:hAnsi="仿宋_GB2312" w:eastAsia="仿宋_GB2312" w:cs="仿宋_GB2312"/>
          <w:color w:val="000000"/>
          <w:kern w:val="0"/>
          <w:sz w:val="32"/>
          <w:szCs w:val="32"/>
          <w:highlight w:val="yellow"/>
          <w:lang w:val="en-US" w:eastAsia="zh-CN"/>
        </w:rPr>
        <w:t>*****</w:t>
      </w:r>
      <w:r>
        <w:rPr>
          <w:rFonts w:hint="eastAsia" w:ascii="仿宋_GB2312" w:hAnsi="仿宋_GB2312" w:eastAsia="仿宋_GB2312" w:cs="仿宋_GB2312"/>
          <w:color w:val="000000"/>
          <w:kern w:val="0"/>
          <w:sz w:val="32"/>
          <w:szCs w:val="32"/>
        </w:rPr>
        <w:t>辆，其中：一般公务用车</w:t>
      </w:r>
      <w:r>
        <w:rPr>
          <w:rFonts w:hint="eastAsia" w:ascii="仿宋_GB2312" w:hAnsi="仿宋_GB2312" w:eastAsia="仿宋_GB2312" w:cs="仿宋_GB2312"/>
          <w:color w:val="000000"/>
          <w:kern w:val="0"/>
          <w:sz w:val="32"/>
          <w:szCs w:val="32"/>
          <w:highlight w:val="yellow"/>
          <w:lang w:val="en-US" w:eastAsia="zh-CN"/>
        </w:rPr>
        <w:t>*****</w:t>
      </w:r>
      <w:r>
        <w:rPr>
          <w:rFonts w:hint="eastAsia" w:ascii="仿宋_GB2312" w:hAnsi="仿宋_GB2312" w:eastAsia="仿宋_GB2312" w:cs="仿宋_GB2312"/>
          <w:color w:val="000000"/>
          <w:kern w:val="0"/>
          <w:sz w:val="32"/>
          <w:szCs w:val="32"/>
        </w:rPr>
        <w:t>辆，执法执勤车</w:t>
      </w:r>
      <w:r>
        <w:rPr>
          <w:rFonts w:hint="eastAsia" w:ascii="仿宋_GB2312" w:hAnsi="仿宋_GB2312" w:eastAsia="仿宋_GB2312" w:cs="仿宋_GB2312"/>
          <w:color w:val="000000"/>
          <w:kern w:val="0"/>
          <w:sz w:val="32"/>
          <w:szCs w:val="32"/>
          <w:highlight w:val="yellow"/>
          <w:lang w:val="en-US" w:eastAsia="zh-CN"/>
        </w:rPr>
        <w:t>*****</w:t>
      </w:r>
      <w:r>
        <w:rPr>
          <w:rFonts w:hint="eastAsia" w:ascii="仿宋_GB2312" w:hAnsi="仿宋_GB2312" w:eastAsia="仿宋_GB2312" w:cs="仿宋_GB2312"/>
          <w:color w:val="000000"/>
          <w:kern w:val="0"/>
          <w:sz w:val="32"/>
          <w:szCs w:val="32"/>
        </w:rPr>
        <w:t>辆，</w:t>
      </w:r>
      <w:r>
        <w:rPr>
          <w:rFonts w:hint="eastAsia" w:ascii="仿宋_GB2312" w:hAnsi="仿宋_GB2312" w:eastAsia="仿宋_GB2312" w:cs="仿宋_GB2312"/>
          <w:sz w:val="32"/>
          <w:szCs w:val="32"/>
        </w:rPr>
        <w:t>其他用车</w:t>
      </w:r>
      <w:r>
        <w:rPr>
          <w:rFonts w:hint="eastAsia" w:ascii="仿宋_GB2312" w:hAnsi="仿宋_GB2312" w:eastAsia="仿宋_GB2312" w:cs="仿宋_GB2312"/>
          <w:color w:val="000000"/>
          <w:kern w:val="0"/>
          <w:sz w:val="32"/>
          <w:szCs w:val="32"/>
          <w:highlight w:val="yellow"/>
          <w:lang w:val="en-US" w:eastAsia="zh-CN"/>
        </w:rPr>
        <w:t>*****</w:t>
      </w:r>
      <w:r>
        <w:rPr>
          <w:rFonts w:hint="eastAsia" w:ascii="仿宋_GB2312" w:hAnsi="仿宋_GB2312" w:eastAsia="仿宋_GB2312" w:cs="仿宋_GB2312"/>
          <w:sz w:val="32"/>
          <w:szCs w:val="32"/>
        </w:rPr>
        <w:t>辆</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单价50万元以上通用设备</w:t>
      </w:r>
      <w:r>
        <w:rPr>
          <w:rFonts w:hint="eastAsia" w:ascii="仿宋_GB2312" w:hAnsi="仿宋_GB2312" w:eastAsia="仿宋_GB2312" w:cs="仿宋_GB2312"/>
          <w:color w:val="000000"/>
          <w:kern w:val="0"/>
          <w:sz w:val="32"/>
          <w:szCs w:val="32"/>
          <w:highlight w:val="yellow"/>
          <w:lang w:val="en-US" w:eastAsia="zh-CN"/>
        </w:rPr>
        <w:t>*****</w:t>
      </w:r>
      <w:r>
        <w:rPr>
          <w:rFonts w:hint="eastAsia" w:ascii="仿宋_GB2312" w:hAnsi="仿宋_GB2312" w:eastAsia="仿宋_GB2312" w:cs="仿宋_GB2312"/>
          <w:color w:val="000000"/>
          <w:sz w:val="32"/>
          <w:szCs w:val="32"/>
        </w:rPr>
        <w:t>台（套），单位价值100万元以上专用设备</w:t>
      </w:r>
      <w:r>
        <w:rPr>
          <w:rFonts w:hint="eastAsia" w:ascii="仿宋_GB2312" w:hAnsi="仿宋_GB2312" w:eastAsia="仿宋_GB2312" w:cs="仿宋_GB2312"/>
          <w:color w:val="000000"/>
          <w:kern w:val="0"/>
          <w:sz w:val="32"/>
          <w:szCs w:val="32"/>
          <w:highlight w:val="yellow"/>
          <w:lang w:val="en-US" w:eastAsia="zh-CN"/>
        </w:rPr>
        <w:t>*****</w:t>
      </w:r>
      <w:r>
        <w:rPr>
          <w:rFonts w:hint="eastAsia" w:ascii="仿宋_GB2312" w:hAnsi="仿宋_GB2312" w:eastAsia="仿宋_GB2312" w:cs="仿宋_GB2312"/>
          <w:color w:val="000000"/>
          <w:sz w:val="32"/>
          <w:szCs w:val="32"/>
        </w:rPr>
        <w:t>台（套）</w:t>
      </w:r>
      <w:r>
        <w:rPr>
          <w:rFonts w:hint="eastAsia" w:ascii="仿宋_GB2312" w:hAnsi="宋体" w:eastAsia="仿宋_GB2312" w:cs="仿宋_GB2312"/>
          <w:color w:val="000000"/>
          <w:sz w:val="32"/>
          <w:szCs w:val="32"/>
        </w:rPr>
        <w:t>。</w:t>
      </w:r>
    </w:p>
    <w:p w14:paraId="7A232DFD">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56D31F06">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中心学校单位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0A943DD6">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6CF90032">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kern w:val="2"/>
          <w:sz w:val="32"/>
          <w:szCs w:val="32"/>
          <w:highlight w:val="none"/>
          <w:lang w:val="en-US" w:eastAsia="zh-CN" w:bidi="ar-SA"/>
        </w:rPr>
      </w:pPr>
      <w:r>
        <w:rPr>
          <w:rFonts w:hint="eastAsia" w:ascii="仿宋_GB2312" w:hAnsi="仿宋_GB2312" w:eastAsia="仿宋_GB2312" w:cs="仿宋_GB2312"/>
          <w:sz w:val="32"/>
          <w:szCs w:val="32"/>
        </w:rPr>
        <w:t>鹿邑县穆店乡中心学校</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年没有债务收入支出项目安排。</w:t>
      </w:r>
      <w:r>
        <w:br w:type="page"/>
      </w:r>
    </w:p>
    <w:p w14:paraId="1BCA4E96">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5EA9A0B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25FC026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7400B23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740A358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3C05567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3586AF6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65D9BD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7D7150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0E96959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2495361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70AA882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07FCE1F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4E6A846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610045B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2" w:name="_GoBack"/>
      <w:bookmarkEnd w:id="2"/>
      <w:r>
        <w:rPr>
          <w:rFonts w:hint="eastAsia" w:ascii="仿宋" w:hAnsi="仿宋" w:eastAsia="仿宋" w:cs="仿宋"/>
          <w:snapToGrid/>
          <w:kern w:val="2"/>
          <w:sz w:val="32"/>
          <w:szCs w:val="32"/>
          <w:highlight w:val="none"/>
          <w:lang w:val="en-US" w:eastAsia="zh-CN" w:bidi="ar-SA"/>
        </w:rPr>
        <w:t>附件：鹿邑县穆店乡中心学校2024年度单位预算表</w:t>
      </w:r>
    </w:p>
    <w:sectPr>
      <w:footerReference r:id="rId5" w:type="default"/>
      <w:pgSz w:w="11906" w:h="16838"/>
      <w:pgMar w:top="873" w:right="1701" w:bottom="1440" w:left="170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94BE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8C9D2B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yU7QUQICAAALBAAADgAAAAAAAAABACAAAAAfAQAAZHJzL2Uyb0Rv&#10;Yy54bWxQSwUGAAAAAAYABgBZAQAAkwUAAAAA&#10;">
              <v:fill on="f" focussize="0,0"/>
              <v:stroke on="f"/>
              <v:imagedata o:title=""/>
              <o:lock v:ext="edit" aspectratio="f"/>
              <v:textbox inset="0mm,0mm,0mm,0mm" style="mso-fit-shape-to-text:t;">
                <w:txbxContent>
                  <w:p w14:paraId="68C9D2BA">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2"/>
      <w:numFmt w:val="chineseCounting"/>
      <w:suff w:val="nothing"/>
      <w:lvlText w:val="（%1）"/>
      <w:lvlJc w:val="left"/>
      <w:rPr>
        <w:rFonts w:hint="eastAsia"/>
      </w:rPr>
    </w:lvl>
  </w:abstractNum>
  <w:abstractNum w:abstractNumId="1">
    <w:nsid w:val="4EBD72A9"/>
    <w:multiLevelType w:val="multilevel"/>
    <w:tmpl w:val="4EBD72A9"/>
    <w:lvl w:ilvl="0" w:tentative="0">
      <w:start w:val="1"/>
      <w:numFmt w:val="decimal"/>
      <w:lvlText w:val="%1、"/>
      <w:lvlJc w:val="left"/>
      <w:pPr>
        <w:ind w:left="1361" w:hanging="720"/>
      </w:pPr>
      <w:rPr>
        <w:rFonts w:hint="default"/>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0DFE363E"/>
    <w:rsid w:val="11EB0F31"/>
    <w:rsid w:val="55B503D4"/>
    <w:rsid w:val="56AD2061"/>
    <w:rsid w:val="6A463584"/>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4220\Desktop\&#39044;&#31639;&#20844;&#24320;2024&#40575;&#37009;\&#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3757.93</c:v>
                </c:pt>
                <c:pt idx="1" c:formatCode="#.00&quot;万&quot;&quot;元&quot;">
                  <c:v>3728.68</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manualLayout>
          <c:xMode val="edge"/>
          <c:yMode val="edge"/>
          <c:x val="0.415236051502146"/>
          <c:y val="0.00717989629038692"/>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0981759656652356"/>
                  <c:y val="0.015343250083240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184714831326496"/>
                    </c:manualLayout>
                  </c15:layout>
                </c:ext>
              </c:extLst>
            </c:dLbl>
            <c:dLbl>
              <c:idx val="1"/>
              <c:layout>
                <c:manualLayout>
                  <c:x val="-0.155919475179491"/>
                  <c:y val="-0.056215407767861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291981627724747"/>
                  <c:y val="0.052652572796170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政府性基金</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0</a:t>
                    </a:r>
                    <a:r>
                      <a:t>.00万元0.00%</a:t>
                    </a:r>
                  </a:p>
                </c:rich>
              </c:tx>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21911384684888"/>
                      <c:h val="0.160164271047228"/>
                    </c:manualLayout>
                  </c15:layout>
                </c:ext>
              </c:extLst>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[鹿邑预算公开图表模板.xlsx]Sheet1!$D$20:$F$20</c:f>
              <c:strCache>
                <c:ptCount val="3"/>
                <c:pt idx="0">
                  <c:v>上年结转结余收入</c:v>
                </c:pt>
                <c:pt idx="1">
                  <c:v>一般公共预算</c:v>
                </c:pt>
                <c:pt idx="2">
                  <c:v>政府性基金</c:v>
                </c:pt>
              </c:strCache>
            </c:strRef>
          </c:cat>
          <c:val>
            <c:numRef>
              <c:f>[鹿邑预算公开图表模板.xlsx]Sheet1!$D$21:$F$21</c:f>
              <c:numCache>
                <c:formatCode>#.00"万""元"</c:formatCode>
                <c:ptCount val="3"/>
                <c:pt idx="0">
                  <c:v>835.19</c:v>
                </c:pt>
                <c:pt idx="1">
                  <c:v>2922.74</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0096295315935"/>
                  <c:y val="0.053313587560162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96917724067039"/>
                  <c:y val="-0.097741577193632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2836.49</c:v>
                </c:pt>
                <c:pt idx="1">
                  <c:v>921.44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3757.93</c:v>
                </c:pt>
                <c:pt idx="1" c:formatCode="0.00_ ">
                  <c:v>3728.6773</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0532826194628022"/>
                  <c:y val="-0.013670759893974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0187759152630316"/>
                  <c:y val="0.36449354575141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110909767877195"/>
                  <c:y val="-0.018661620191024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92408635392135"/>
                    </c:manualLayout>
                  </c15:layout>
                </c:ext>
              </c:extLst>
            </c:dLbl>
            <c:dLbl>
              <c:idx val="3"/>
              <c:layout>
                <c:manualLayout>
                  <c:x val="0.437576897681441"/>
                  <c:y val="0.10382424735557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46735416666667"/>
                      <c:h val="0.202343675514412"/>
                    </c:manualLayout>
                  </c15:layout>
                </c:ext>
              </c:extLst>
            </c:dLbl>
            <c:dLbl>
              <c:idx val="4"/>
              <c:layout>
                <c:manualLayout>
                  <c:x val="0.109375"/>
                  <c:y val="0.20237762575584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0484375"/>
                  <c:y val="-0.23379152815476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教育支出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2137.96</c:v>
                </c:pt>
                <c:pt idx="1">
                  <c:v>376.76</c:v>
                </c:pt>
                <c:pt idx="2">
                  <c:v>173.67</c:v>
                </c:pt>
                <c:pt idx="3">
                  <c:v>234.35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24479166666667"/>
          <c:y val="0.87237294612151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95000888102337"/>
                  <c:y val="-0.10719711983088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73223014929317"/>
                    </c:manualLayout>
                  </c15:layout>
                </c:ext>
              </c:extLst>
            </c:dLbl>
            <c:dLbl>
              <c:idx val="1"/>
              <c:layout>
                <c:manualLayout>
                  <c:x val="-0.334476712251595"/>
                  <c:y val="0.018878955608851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公用经费</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0</a:t>
                    </a:r>
                    <a:r>
                      <a:t>.00万元0.00%</a:t>
                    </a:r>
                  </a:p>
                </c:rich>
              </c:tx>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2836.49</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3.xml><?xml version="1.0" encoding="utf-8"?>
<Properties xmlns="http://schemas.openxmlformats.org/officeDocument/2006/extended-properties" xmlns:vt="http://schemas.openxmlformats.org/officeDocument/2006/docPropsVTypes">
  <Pages>27</Pages>
  <Words>4610</Words>
  <Characters>12077</Characters>
  <TotalTime>34</TotalTime>
  <ScaleCrop>false</ScaleCrop>
  <LinksUpToDate>false</LinksUpToDate>
  <CharactersWithSpaces>12224</CharactersWithSpaces>
  <Application>WPS Office_12.1.0.16929_F1E327BC-269C-435d-A152-05C5408002CA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2024-06-20T02:19:52Z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831552-fae4-465b-9e03-f156e7744c38}">
  <ds:schemaRefs/>
</ds:datastoreItem>
</file>

<file path=customXml/itemProps3.xml><?xml version="1.0" encoding="utf-8"?>
<ds:datastoreItem xmlns:ds="http://schemas.openxmlformats.org/officeDocument/2006/customXml" ds:itemID="{c1feab97-7b85-489d-84c7-48ff29cf1286}">
  <ds:schemaRefs/>
</ds:datastoreItem>
</file>

<file path=customXml/itemProps4.xml><?xml version="1.0" encoding="utf-8"?>
<ds:datastoreItem xmlns:ds="http://schemas.openxmlformats.org/officeDocument/2006/customXml" ds:itemID="{866f4740-7394-4236-be28-b0af1f63a19f}">
  <ds:schemaRefs/>
</ds:datastoreItem>
</file>

<file path=docProps/app.xml><?xml version="1.0" encoding="utf-8"?>
<Properties xmlns="http://schemas.openxmlformats.org/officeDocument/2006/extended-properties" xmlns:vt="http://schemas.openxmlformats.org/officeDocument/2006/docPropsVTypes">
  <Pages>14</Pages>
  <Words>4359</Words>
  <Characters>5017</Characters>
  <TotalTime>3</TotalTime>
  <ScaleCrop>false</ScaleCrop>
  <LinksUpToDate>false</LinksUpToDate>
  <CharactersWithSpaces>5026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2024-08-14T11:19:38Z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2052-12.1.0.17147</vt:lpwstr>
  </property>
  <property fmtid="{D5CDD505-2E9C-101B-9397-08002B2CF9AE}" pid="5" name="ICV">
    <vt:lpwstr>BF76CD38DD77498BB7F6815533CCD939_13</vt:lpwstr>
  </property>
</Properties>
</file>