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FAB5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7455AD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475060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C46B69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8F6CF6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AC5A02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3694F3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092AB6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2BAC80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鹿邑县辛集乡中心学校</w:t>
      </w:r>
    </w:p>
    <w:p w14:paraId="7376321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291122A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6D6A70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118B4C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C07456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A2CB01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07A297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B00558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A3488C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498978F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D8B367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40DE976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z w:val="31"/>
          <w:szCs w:val="31"/>
          <w:highlight w:val="none"/>
        </w:rPr>
        <w:t>鹿邑县辛集乡中心学校</w:t>
      </w:r>
      <w:r>
        <w:rPr>
          <w:rFonts w:ascii="黑体" w:hAnsi="黑体" w:eastAsia="黑体" w:cs="黑体"/>
          <w:spacing w:val="11"/>
          <w:sz w:val="31"/>
          <w:szCs w:val="31"/>
          <w:highlight w:val="none"/>
        </w:rPr>
        <w:t>概况</w:t>
      </w:r>
    </w:p>
    <w:p w14:paraId="3A6B95F5">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DB14F47">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069EFAD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rPr>
        <w:t>鹿邑县辛集乡中心学校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34FAD2D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第三部分名词解释</w:t>
      </w:r>
    </w:p>
    <w:p w14:paraId="58F13E3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鹿邑县辛集乡中心学校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7703DCE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6E692E9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2F816BED">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4E8F4D9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462AF86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6FB7809">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4850A86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00B0F839">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5AFDB96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5226B45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05E295D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99DD7D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063C86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4D547EFF">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350A14B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13A6AEF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0B61282">
      <w:pPr>
        <w:rPr>
          <w:rFonts w:hint="eastAsia" w:ascii="仿宋" w:hAnsi="仿宋" w:eastAsia="仿宋" w:cs="仿宋"/>
          <w:spacing w:val="8"/>
          <w:sz w:val="31"/>
          <w:szCs w:val="31"/>
          <w:highlight w:val="none"/>
          <w:lang w:val="en-US" w:eastAsia="zh-CN"/>
        </w:rPr>
      </w:pPr>
      <w:r>
        <w:br w:type="page"/>
      </w:r>
    </w:p>
    <w:p w14:paraId="74CC7B4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鹿邑县辛集乡中心学校概况</w:t>
      </w:r>
    </w:p>
    <w:p w14:paraId="575B40B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D7D94A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3DB77169">
      <w:pPr>
        <w:overflowPunct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鹿邑县辛集镇中心学校属于鹿邑县教育体育局二级机构，设置六个处室分别为：办公室、业务处、总务处、政教处、团委、工会。</w:t>
      </w:r>
    </w:p>
    <w:p w14:paraId="645F06D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03F1B36C">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1.负责本乡镇辖区内中学、小学、幼儿园的德育、教学、教研、后勤等管理事务。</w:t>
      </w:r>
    </w:p>
    <w:p w14:paraId="15256E61">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1767D77A">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14:paraId="3447170D">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4.发挥</w:t>
      </w:r>
      <w:r>
        <w:rPr>
          <w:rFonts w:hint="eastAsia" w:ascii="仿宋_GB2312" w:hAnsi="仿宋_GB2312" w:eastAsia="仿宋_GB2312" w:cs="仿宋_GB2312"/>
          <w:spacing w:val="-6"/>
          <w:sz w:val="32"/>
          <w:szCs w:val="32"/>
        </w:rPr>
        <w:t>中小学教师进修培训作用。镇中心学校负责制定并实施本乡镇中、小学教师继续教育，并针对性组织教师参加培训进修，更新教育观念，提高教师职业道德水平和教育教学能力。</w:t>
      </w:r>
    </w:p>
    <w:p w14:paraId="2FDD2FA9">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5.管理中、小学学籍。建立全乡镇适龄儿童、少年档案，掌握全镇每学年适龄儿童、适龄少年人数，严格控制学生辍学，已入学学生建立学籍档案，并报教育行政部门备案。</w:t>
      </w:r>
    </w:p>
    <w:p w14:paraId="3CE1D2BD">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本乡镇中、小学教师的教育教学业务档案的管理、教育统计、教师工资统计、学校报账。管理本部门教育经费；拟定教育经费筹措和管理的规定及财务管理制度；统计并监测全镇教育经费的筹措和使用情况。</w:t>
      </w:r>
    </w:p>
    <w:p w14:paraId="4C21A430">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7.协助乡镇政府组织发动学生入学，负责和协助学校做好社会治安综合治理及安全保卫工作。</w:t>
      </w:r>
    </w:p>
    <w:p w14:paraId="37A326F1">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8.协助教育行政部门做好教师编制核定、资格认定、职务评聘、调配和交流、培训和考核等工作。</w:t>
      </w:r>
    </w:p>
    <w:p w14:paraId="0ADB4D48">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9.协助乡镇政府和教育行政部门做好学校布局调整和改造中小学危房等有关工作。</w:t>
      </w:r>
    </w:p>
    <w:p w14:paraId="00D99D2A">
      <w:pPr>
        <w:overflowPunct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10.在教育行政部门的指导下，负责组织中小学毕业考试、教育教学质量监测评估工作。</w:t>
      </w:r>
    </w:p>
    <w:p w14:paraId="1BC4AD11">
      <w:pPr>
        <w:kinsoku w:val="0"/>
        <w:overflowPunct w:val="0"/>
        <w:adjustRightInd w:val="0"/>
        <w:snapToGrid w:val="0"/>
        <w:spacing w:line="580" w:lineRule="exact"/>
        <w:ind w:right="-4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11．自觉接受县教育体育局、镇党委、政府及党总支的监督与指导，积极承办镇政府及上级主管部门交办的其他事项。</w:t>
      </w:r>
    </w:p>
    <w:p w14:paraId="3AD52A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79AE1043">
      <w:pPr>
        <w:pStyle w:val="9"/>
        <w:overflowPunct w:val="0"/>
        <w:spacing w:line="59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鹿邑县辛集镇中心学校为二级预算单位，本预算为鹿邑县辛集镇中心学校</w:t>
      </w:r>
      <w:r>
        <w:rPr>
          <w:rFonts w:hint="eastAsia" w:ascii="仿宋_GB2312" w:hAnsi="仿宋_GB2312" w:eastAsia="仿宋_GB2312" w:cs="仿宋_GB2312"/>
          <w:kern w:val="0"/>
          <w:sz w:val="32"/>
          <w:szCs w:val="32"/>
          <w:lang w:val="en-US" w:eastAsia="zh-CN"/>
        </w:rPr>
        <w:t>本级预算</w:t>
      </w:r>
      <w:r>
        <w:rPr>
          <w:rFonts w:hint="eastAsia" w:ascii="仿宋_GB2312" w:hAnsi="仿宋_GB2312" w:eastAsia="仿宋_GB2312" w:cs="仿宋_GB2312"/>
          <w:kern w:val="0"/>
          <w:sz w:val="32"/>
          <w:szCs w:val="32"/>
        </w:rPr>
        <w:t>。</w:t>
      </w:r>
    </w:p>
    <w:p w14:paraId="217262B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p>
    <w:p w14:paraId="204A247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6C0763F2">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2E197AE2">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鹿邑县辛集乡中心学校2024年单位预算情况说明</w:t>
      </w:r>
    </w:p>
    <w:p w14:paraId="4FC2163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D77DD4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鹿邑县辛集乡中心学校单位2024年收入总计2159.36万元，支出总计2159.36万元，与2023年预算相比，收、支总计减少132.92万元，下降5.80%，主要原因是：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48A6FD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154930" cy="3239135"/>
            <wp:effectExtent l="4445" t="4445" r="9525" b="762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579DF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47E860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鹿邑县辛集乡中心学校单位2024年收入合计2159.36万元，其中：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1743.83</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415.53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424A61A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81295" cy="3515995"/>
            <wp:effectExtent l="4445" t="4445" r="10160" b="1016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DCC24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15F6A4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鹿邑县辛集乡中心学校单位2024年支出合计2159.36万元，其中：基本支出1728.66万元，占80.05%；项目支出430.70万元，占19.95%。</w:t>
      </w:r>
    </w:p>
    <w:p w14:paraId="21A43F6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305425" cy="3801745"/>
            <wp:effectExtent l="4445" t="4445" r="11430" b="1651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85730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1F8274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2E2616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鹿邑县辛集乡中心学校单位2024年一般公共预算收支预算2159.36万元，政府性基金收支预算0.00万元，国有资本经营预算0.00万元。与2023年相比，一般公共预算收支预算减少132.92万元，降低5.80%，主要原因是：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7D4FA1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194300" cy="3444240"/>
            <wp:effectExtent l="4445" t="4445" r="825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E5CDF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679569C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鹿邑县辛集乡中心学校单位2024年一般公共预算支出年初预算为1743.83万元。其中</w:t>
      </w:r>
      <w:r>
        <w:rPr>
          <w:rFonts w:hint="eastAsia" w:ascii="仿宋" w:hAnsi="仿宋" w:eastAsia="仿宋" w:cs="仿宋"/>
          <w:sz w:val="32"/>
          <w:szCs w:val="32"/>
          <w:highlight w:val="none"/>
          <w:lang w:val="en-US" w:eastAsia="zh-CN"/>
        </w:rPr>
        <w:t>基本支出1728.66万元，占99.13%；项目支出15.17万元，占0.87%</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6E9F7BAA">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、教育支出</w:t>
      </w:r>
      <w:r>
        <w:rPr>
          <w:rFonts w:hint="eastAsia" w:ascii="仿宋" w:hAnsi="仿宋" w:eastAsia="仿宋" w:cs="仿宋"/>
          <w:sz w:val="32"/>
          <w:szCs w:val="32"/>
          <w:lang w:val="en-US" w:eastAsia="zh-CN"/>
        </w:rPr>
        <w:t>1254.95</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71.97</w:t>
      </w:r>
      <w:r>
        <w:rPr>
          <w:rFonts w:hint="eastAsia" w:ascii="仿宋" w:hAnsi="仿宋" w:eastAsia="仿宋" w:cs="仿宋"/>
          <w:sz w:val="32"/>
          <w:szCs w:val="32"/>
        </w:rPr>
        <w:t>%。其中：普通教育</w:t>
      </w:r>
      <w:r>
        <w:rPr>
          <w:rFonts w:hint="eastAsia" w:ascii="仿宋" w:hAnsi="仿宋" w:eastAsia="仿宋" w:cs="仿宋"/>
          <w:kern w:val="0"/>
          <w:sz w:val="32"/>
          <w:szCs w:val="32"/>
        </w:rPr>
        <w:t>（款）</w:t>
      </w:r>
      <w:r>
        <w:rPr>
          <w:rFonts w:hint="eastAsia" w:ascii="仿宋" w:hAnsi="仿宋" w:eastAsia="仿宋" w:cs="仿宋"/>
          <w:sz w:val="32"/>
          <w:szCs w:val="32"/>
        </w:rPr>
        <w:t>小学教育（项）支出</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1254.95</w:t>
      </w:r>
      <w:r>
        <w:rPr>
          <w:rFonts w:hint="eastAsia" w:ascii="仿宋" w:hAnsi="仿宋" w:eastAsia="仿宋" w:cs="仿宋"/>
          <w:sz w:val="32"/>
          <w:szCs w:val="32"/>
        </w:rPr>
        <w:t>万元。</w:t>
      </w:r>
    </w:p>
    <w:p w14:paraId="320B2BFD">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2、社会保障和就业支出</w:t>
      </w:r>
      <w:r>
        <w:rPr>
          <w:rFonts w:hint="eastAsia" w:ascii="仿宋" w:hAnsi="仿宋" w:eastAsia="仿宋" w:cs="仿宋"/>
          <w:color w:val="000000"/>
          <w:sz w:val="32"/>
          <w:szCs w:val="32"/>
          <w:lang w:val="en-US" w:eastAsia="zh-CN"/>
        </w:rPr>
        <w:t>226.94</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13.01</w:t>
      </w:r>
      <w:r>
        <w:rPr>
          <w:rFonts w:hint="eastAsia" w:ascii="仿宋" w:hAnsi="仿宋" w:eastAsia="仿宋" w:cs="仿宋"/>
          <w:sz w:val="32"/>
          <w:szCs w:val="32"/>
        </w:rPr>
        <w:t>%。其中：行政事业单位养老支出</w:t>
      </w:r>
      <w:r>
        <w:rPr>
          <w:rFonts w:hint="eastAsia" w:ascii="仿宋" w:hAnsi="仿宋" w:eastAsia="仿宋" w:cs="仿宋"/>
          <w:kern w:val="0"/>
          <w:sz w:val="32"/>
          <w:szCs w:val="32"/>
        </w:rPr>
        <w:t>（款）</w:t>
      </w:r>
      <w:r>
        <w:rPr>
          <w:rFonts w:hint="eastAsia" w:ascii="仿宋" w:hAnsi="仿宋" w:eastAsia="仿宋" w:cs="仿宋"/>
          <w:sz w:val="32"/>
          <w:szCs w:val="32"/>
        </w:rPr>
        <w:t>机关事业单位养老保险缴费（项）支出</w:t>
      </w:r>
      <w:r>
        <w:rPr>
          <w:rFonts w:hint="eastAsia" w:ascii="仿宋" w:hAnsi="仿宋" w:eastAsia="仿宋" w:cs="仿宋"/>
          <w:color w:val="000000"/>
          <w:sz w:val="32"/>
          <w:szCs w:val="32"/>
          <w:lang w:val="en-US" w:eastAsia="zh-CN"/>
        </w:rPr>
        <w:t>166.76</w:t>
      </w:r>
      <w:r>
        <w:rPr>
          <w:rFonts w:hint="eastAsia" w:ascii="仿宋" w:hAnsi="仿宋" w:eastAsia="仿宋" w:cs="仿宋"/>
          <w:sz w:val="32"/>
          <w:szCs w:val="32"/>
        </w:rPr>
        <w:t>万元；其他社会保障和就业支出</w:t>
      </w:r>
      <w:r>
        <w:rPr>
          <w:rFonts w:hint="eastAsia" w:ascii="仿宋" w:hAnsi="仿宋" w:eastAsia="仿宋" w:cs="仿宋"/>
          <w:kern w:val="0"/>
          <w:sz w:val="32"/>
          <w:szCs w:val="32"/>
        </w:rPr>
        <w:t>（款）</w:t>
      </w:r>
      <w:r>
        <w:rPr>
          <w:rFonts w:hint="eastAsia" w:ascii="仿宋" w:hAnsi="仿宋" w:eastAsia="仿宋" w:cs="仿宋"/>
          <w:sz w:val="32"/>
          <w:szCs w:val="32"/>
        </w:rPr>
        <w:t>其他社会保障和就业支出（项）支出</w:t>
      </w:r>
      <w:r>
        <w:rPr>
          <w:rFonts w:hint="eastAsia" w:ascii="仿宋" w:hAnsi="仿宋" w:eastAsia="仿宋" w:cs="仿宋"/>
          <w:color w:val="000000"/>
          <w:sz w:val="32"/>
          <w:szCs w:val="32"/>
        </w:rPr>
        <w:t>60.1</w:t>
      </w:r>
      <w:r>
        <w:rPr>
          <w:rFonts w:hint="eastAsia" w:ascii="仿宋" w:hAnsi="仿宋" w:eastAsia="仿宋" w:cs="仿宋"/>
          <w:color w:val="000000"/>
          <w:sz w:val="32"/>
          <w:szCs w:val="32"/>
          <w:lang w:val="en-US" w:eastAsia="zh-CN"/>
        </w:rPr>
        <w:t>8</w:t>
      </w:r>
      <w:r>
        <w:rPr>
          <w:rFonts w:hint="eastAsia" w:ascii="仿宋" w:hAnsi="仿宋" w:eastAsia="仿宋" w:cs="仿宋"/>
          <w:sz w:val="32"/>
          <w:szCs w:val="32"/>
        </w:rPr>
        <w:t>万元</w:t>
      </w:r>
      <w:r>
        <w:rPr>
          <w:rFonts w:hint="eastAsia" w:ascii="仿宋" w:hAnsi="仿宋" w:eastAsia="仿宋" w:cs="仿宋"/>
          <w:color w:val="000000"/>
          <w:sz w:val="32"/>
          <w:szCs w:val="32"/>
        </w:rPr>
        <w:t>。</w:t>
      </w:r>
    </w:p>
    <w:p w14:paraId="0BFD2DD2">
      <w:pPr>
        <w:spacing w:line="592"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3、卫生健康支出</w:t>
      </w:r>
      <w:r>
        <w:rPr>
          <w:rFonts w:hint="eastAsia" w:ascii="仿宋" w:hAnsi="仿宋" w:eastAsia="仿宋" w:cs="仿宋"/>
          <w:color w:val="000000"/>
          <w:sz w:val="32"/>
          <w:szCs w:val="32"/>
          <w:lang w:val="en-US" w:eastAsia="zh-CN"/>
        </w:rPr>
        <w:t>133.69</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7.67</w:t>
      </w:r>
      <w:r>
        <w:rPr>
          <w:rFonts w:hint="eastAsia" w:ascii="仿宋" w:hAnsi="仿宋" w:eastAsia="仿宋" w:cs="仿宋"/>
          <w:sz w:val="32"/>
          <w:szCs w:val="32"/>
        </w:rPr>
        <w:t>%。其中：行政事业单位医疗</w:t>
      </w:r>
      <w:r>
        <w:rPr>
          <w:rFonts w:hint="eastAsia" w:ascii="仿宋" w:hAnsi="仿宋" w:eastAsia="仿宋" w:cs="仿宋"/>
          <w:kern w:val="0"/>
          <w:sz w:val="32"/>
          <w:szCs w:val="32"/>
        </w:rPr>
        <w:t>（款）</w:t>
      </w:r>
      <w:r>
        <w:rPr>
          <w:rFonts w:hint="eastAsia" w:ascii="仿宋" w:hAnsi="仿宋" w:eastAsia="仿宋" w:cs="仿宋"/>
          <w:sz w:val="32"/>
          <w:szCs w:val="32"/>
        </w:rPr>
        <w:t>事业单位医疗（项）支出</w:t>
      </w:r>
      <w:r>
        <w:rPr>
          <w:rFonts w:hint="eastAsia" w:ascii="仿宋" w:hAnsi="仿宋" w:eastAsia="仿宋" w:cs="仿宋"/>
          <w:color w:val="000000"/>
          <w:sz w:val="32"/>
          <w:szCs w:val="32"/>
          <w:lang w:val="en-US" w:eastAsia="zh-CN"/>
        </w:rPr>
        <w:t>67.25</w:t>
      </w:r>
      <w:r>
        <w:rPr>
          <w:rFonts w:hint="eastAsia" w:ascii="仿宋" w:hAnsi="仿宋" w:eastAsia="仿宋" w:cs="仿宋"/>
          <w:sz w:val="32"/>
          <w:szCs w:val="32"/>
        </w:rPr>
        <w:t>万元；行政事业单位医疗</w:t>
      </w:r>
      <w:r>
        <w:rPr>
          <w:rFonts w:hint="eastAsia" w:ascii="仿宋" w:hAnsi="仿宋" w:eastAsia="仿宋" w:cs="仿宋"/>
          <w:kern w:val="0"/>
          <w:sz w:val="32"/>
          <w:szCs w:val="32"/>
        </w:rPr>
        <w:t>（款）</w:t>
      </w:r>
      <w:r>
        <w:rPr>
          <w:rFonts w:hint="eastAsia" w:ascii="仿宋" w:hAnsi="仿宋" w:eastAsia="仿宋" w:cs="仿宋"/>
          <w:sz w:val="32"/>
          <w:szCs w:val="32"/>
        </w:rPr>
        <w:t>其他行政事业单位医疗（项）支出</w:t>
      </w:r>
      <w:r>
        <w:rPr>
          <w:rFonts w:hint="eastAsia" w:ascii="仿宋" w:hAnsi="仿宋" w:eastAsia="仿宋" w:cs="仿宋"/>
          <w:color w:val="000000"/>
          <w:sz w:val="32"/>
          <w:szCs w:val="32"/>
        </w:rPr>
        <w:t>6</w:t>
      </w:r>
      <w:r>
        <w:rPr>
          <w:rFonts w:hint="eastAsia" w:ascii="仿宋" w:hAnsi="仿宋" w:eastAsia="仿宋" w:cs="仿宋"/>
          <w:color w:val="000000"/>
          <w:sz w:val="32"/>
          <w:szCs w:val="32"/>
          <w:lang w:val="en-US" w:eastAsia="zh-CN"/>
        </w:rPr>
        <w:t>6.44</w:t>
      </w:r>
      <w:r>
        <w:rPr>
          <w:rFonts w:hint="eastAsia" w:ascii="仿宋" w:hAnsi="仿宋" w:eastAsia="仿宋" w:cs="仿宋"/>
          <w:sz w:val="32"/>
          <w:szCs w:val="32"/>
        </w:rPr>
        <w:t>万元</w:t>
      </w:r>
      <w:r>
        <w:rPr>
          <w:rFonts w:hint="eastAsia" w:ascii="仿宋" w:hAnsi="仿宋" w:eastAsia="仿宋" w:cs="仿宋"/>
          <w:color w:val="000000"/>
          <w:sz w:val="32"/>
          <w:szCs w:val="32"/>
        </w:rPr>
        <w:t>。</w:t>
      </w:r>
    </w:p>
    <w:p w14:paraId="6A1EC5E4">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4、住房保障支出</w:t>
      </w:r>
      <w:r>
        <w:rPr>
          <w:rFonts w:hint="eastAsia" w:ascii="仿宋" w:hAnsi="仿宋" w:eastAsia="仿宋" w:cs="仿宋"/>
          <w:color w:val="000000"/>
          <w:sz w:val="32"/>
          <w:szCs w:val="32"/>
          <w:lang w:val="en-US" w:eastAsia="zh-CN"/>
        </w:rPr>
        <w:t>128.25</w:t>
      </w:r>
      <w:r>
        <w:rPr>
          <w:rFonts w:hint="eastAsia" w:ascii="仿宋" w:hAnsi="仿宋" w:eastAsia="仿宋" w:cs="仿宋"/>
          <w:sz w:val="32"/>
          <w:szCs w:val="32"/>
        </w:rPr>
        <w:t>万元，占</w:t>
      </w:r>
      <w:r>
        <w:rPr>
          <w:rFonts w:hint="eastAsia" w:ascii="仿宋" w:hAnsi="仿宋" w:eastAsia="仿宋" w:cs="仿宋"/>
          <w:color w:val="000000"/>
          <w:sz w:val="32"/>
          <w:szCs w:val="32"/>
          <w:lang w:val="en-US" w:eastAsia="zh-CN"/>
        </w:rPr>
        <w:t>7.35</w:t>
      </w:r>
      <w:r>
        <w:rPr>
          <w:rFonts w:hint="eastAsia" w:ascii="仿宋" w:hAnsi="仿宋" w:eastAsia="仿宋" w:cs="仿宋"/>
          <w:sz w:val="32"/>
          <w:szCs w:val="32"/>
        </w:rPr>
        <w:t>%。其中：住房改革支出</w:t>
      </w:r>
      <w:r>
        <w:rPr>
          <w:rFonts w:hint="eastAsia" w:ascii="仿宋" w:hAnsi="仿宋" w:eastAsia="仿宋" w:cs="仿宋"/>
          <w:kern w:val="0"/>
          <w:sz w:val="32"/>
          <w:szCs w:val="32"/>
        </w:rPr>
        <w:t>（款）</w:t>
      </w:r>
      <w:r>
        <w:rPr>
          <w:rFonts w:hint="eastAsia" w:ascii="仿宋" w:hAnsi="仿宋" w:eastAsia="仿宋" w:cs="仿宋"/>
          <w:sz w:val="32"/>
          <w:szCs w:val="32"/>
        </w:rPr>
        <w:t>住房公积金（项）支出</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28.25</w:t>
      </w:r>
      <w:r>
        <w:rPr>
          <w:rFonts w:hint="eastAsia" w:ascii="仿宋" w:hAnsi="仿宋" w:eastAsia="仿宋" w:cs="仿宋"/>
          <w:sz w:val="32"/>
          <w:szCs w:val="32"/>
        </w:rPr>
        <w:t>万元。</w:t>
      </w:r>
    </w:p>
    <w:p w14:paraId="4278F800">
      <w:pPr>
        <w:spacing w:line="240" w:lineRule="auto"/>
        <w:ind w:firstLine="0" w:firstLineChars="0"/>
        <w:jc w:val="center"/>
        <w:rPr>
          <w:rFonts w:hint="eastAsia"/>
        </w:rPr>
      </w:pPr>
      <w:r>
        <w:drawing>
          <wp:inline distT="0" distB="0" distL="114300" distR="114300">
            <wp:extent cx="5384165" cy="3798570"/>
            <wp:effectExtent l="4445" t="4445" r="8890" b="698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455A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0595A14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鹿邑县辛集乡中心学校单位2024年一般公共预算基本支出年初预算为1728.66万元，其中：人员经费支出1728.66万元，占100.00%；公用经费支出0.00万元，占0.00%。</w:t>
      </w:r>
    </w:p>
    <w:p w14:paraId="4B9D233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427980" cy="3860800"/>
            <wp:effectExtent l="4445" t="4445" r="15875" b="825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D725B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4C66ACB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一般公共预算基本支出年初预算为1728.66万元，其中：人员经费支出1728.66万元，占100.00%；主要包括：基本工资824.30万元、津贴补贴161.05万元、绩效工资208.63万元、机关事业单位基本养老保险缴费166.76万元、医疗保险缴费67.25万元、其他社会保障缴费75.82万元、住房公积金128.25万元、退休费45.80万元、生活补助50.80万元。公用经费支出0.00万元，占0.00%。</w:t>
      </w:r>
    </w:p>
    <w:p w14:paraId="64C18D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1E03969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鹿邑县辛集乡中心学校2024年单位机构运行经费支出预算0.00万元，主要保障机关机构正常运转及正常履职需要的办公费、水电费、物业费、维修费、差旅费等支出，与2023年相比持平，主要原因：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6331C3D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34E8218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default"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辛集乡中心学校2024年单位预算支出2159.36万元，其中：301工资福利支出1837.86万元，主要包括：基本工资918.95万元、津贴补贴161.05万元、奖金万元、社会保障缴费万元、绩效工资208.63万元、基本养老保险缴费166.76万元、医疗保险缴费89.49万元、其他社会保障缴费97.26万元、住房公积金195.72万元；302商品和服务支出197.98万元，主要包括：办公费197.98万元；303对个人和家庭的补助支出123.52万元，主要包括：生活补助55.19万元、退休费57.34万元、抚恤金10.99万元。</w:t>
      </w:r>
    </w:p>
    <w:p w14:paraId="193E468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0F033A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580075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09F1A3F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E88A9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1AB2D9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0C9BB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78D8B23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鹿邑县辛集乡中心学校2024年无政府性基金预算拨款安排的支出。</w:t>
      </w:r>
    </w:p>
    <w:p w14:paraId="62D873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43A84FE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鹿邑县辛集乡中心学校2024年无国有资本经营预算拨款安排的支出。</w:t>
      </w:r>
    </w:p>
    <w:p w14:paraId="0469A43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29DBF1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7156BB7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94582D6">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2159.36万元，其中：人员经费支出1728.66万元，公用经费支出0.00万元，项目支出总额430.70万元。支出项目共17个，其中：预算支出100万元及100万元以上的重点项目1个，支出总额177.48万元。均按要求编制了绩效目标，从项目产出、项目效益、满意度等方面设置了绩效指标，综合反映项目预期完成的数量、实效、质量，预期达到的社会经济效益、可持续影响以及服务对象满意度等情况。</w:t>
      </w:r>
    </w:p>
    <w:p w14:paraId="605B5CC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D2C175C">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274DB72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2023年期末，鹿邑县辛集乡中心学校固定资产总额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6A98A911">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47122E3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辛集乡中心学校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AA6979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50BF711C">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_GB2312" w:hAnsi="仿宋_GB2312" w:eastAsia="仿宋_GB2312" w:cs="仿宋_GB2312"/>
          <w:sz w:val="32"/>
          <w:szCs w:val="32"/>
        </w:rPr>
        <w:t>鹿邑县</w:t>
      </w:r>
      <w:r>
        <w:rPr>
          <w:rFonts w:hint="eastAsia" w:ascii="仿宋_GB2312" w:hAnsi="仿宋_GB2312" w:eastAsia="仿宋_GB2312" w:cs="仿宋_GB2312"/>
          <w:sz w:val="32"/>
          <w:szCs w:val="32"/>
          <w:lang w:val="en-US" w:eastAsia="zh-CN"/>
        </w:rPr>
        <w:t>辛</w:t>
      </w:r>
      <w:r>
        <w:rPr>
          <w:rFonts w:hint="eastAsia" w:ascii="仿宋_GB2312" w:hAnsi="仿宋_GB2312" w:eastAsia="仿宋_GB2312" w:cs="仿宋_GB2312"/>
          <w:sz w:val="32"/>
          <w:szCs w:val="32"/>
        </w:rPr>
        <w:t>集乡中心学校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年没有债务收入支出项目安排。</w:t>
      </w:r>
      <w:r>
        <w:br w:type="page"/>
      </w:r>
    </w:p>
    <w:p w14:paraId="173CD176">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5B15461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2EDDCC3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0A8DD6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2B0075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53074A1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7344AD8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BF1314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F5337D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069E441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617A64E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C806B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1A37A99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8BFAE8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C5A95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附件：鹿邑县辛集乡中心学校2024年度单位预算表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15D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99297A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uU4GMCAgAACwQAAA4AAABkcnMvZTJvRG9jLnhtbK1TwY7TMBC9I/EP&#10;lu80bbV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Jsbzpyw1PLzt6/n7z/P&#10;P76wWTKo86GkvAe/xXEXCCa1fYM2fUkH67Opp6upqo9MUnC2mC8WU/Jb0tllQzzF4+8eQ3ynwLIE&#10;Ko7UtWymON6FOKReUtJtDjbaGIqL0rg/AsSZIkWqeKgxodjv+rHwHdQn0oswDELwcqPpzjsR4lYg&#10;dZ7qpLcR72lpDHQVhxFx1gJ+/lc85VND6JSzjiap4o4eDmfmvaNGpaG7ALyA3QW4g30LNJozzjCa&#10;DOkH4STRVTxydvCo922uNikN/s0hkvzsStI2CBol04xkX8d5TkP4+z5nPb7h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25TgYwICAAALBAAADgAAAAAAAAABACAAAAAfAQAAZHJzL2Uyb0Rv&#10;Yy54bWxQSwUGAAAAAAYABgBZAQAAkwUAAAAA&#10;">
              <v:fill on="f" focussize="0,0"/>
              <v:stroke on="f"/>
              <v:imagedata o:title=""/>
              <o:lock v:ext="edit" aspectratio="f"/>
              <v:textbox inset="0mm,0mm,0mm,0mm" style="mso-fit-shape-to-text:t;">
                <w:txbxContent>
                  <w:p w14:paraId="799297AB">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4EB6E79"/>
    <w:rsid w:val="11351F8D"/>
    <w:rsid w:val="1ACE43AF"/>
    <w:rsid w:val="55D407F2"/>
    <w:rsid w:val="660B5688"/>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2159.36</c:v>
                </c:pt>
                <c:pt idx="1" c:formatCode="#.00&quot;万&quot;&quot;元&quot;">
                  <c:v>2292.28</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15236051502146"/>
          <c:y val="0.0071798962903869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114270386266094"/>
                  <c:y val="0.091131044259546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3661779870572"/>
                    </c:manualLayout>
                  </c15:layout>
                </c:ext>
              </c:extLst>
            </c:dLbl>
            <c:dLbl>
              <c:idx val="1"/>
              <c:layout>
                <c:manualLayout>
                  <c:x val="-0.155919475179491"/>
                  <c:y val="-0.0562154077678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91981627724747"/>
                  <c:y val="0.0526525727961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1911384684888"/>
                      <c:h val="0.160164271047228"/>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[鹿邑预算公开图表模板.xlsx]Sheet1!$D$20:$F$20</c:f>
              <c:strCache>
                <c:ptCount val="3"/>
                <c:pt idx="0">
                  <c:v>上年结转结余收入</c:v>
                </c:pt>
                <c:pt idx="1">
                  <c:v>一般公共预算</c:v>
                </c:pt>
                <c:pt idx="2">
                  <c:v>政府性基金</c:v>
                </c:pt>
              </c:strCache>
            </c:strRef>
          </c:cat>
          <c:val>
            <c:numRef>
              <c:f>[鹿邑预算公开图表模板.xlsx]Sheet1!$D$21:$F$21</c:f>
              <c:numCache>
                <c:formatCode>#.00"万""元"</c:formatCode>
                <c:ptCount val="3"/>
                <c:pt idx="0">
                  <c:v>415.53</c:v>
                </c:pt>
                <c:pt idx="1">
                  <c:v>1743.83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1728.66</c:v>
                </c:pt>
                <c:pt idx="1">
                  <c:v>430.7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2159.36</c:v>
                </c:pt>
                <c:pt idx="1" c:formatCode="0.00_ ">
                  <c:v>2292.28</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150870043885912"/>
                  <c:y val="-0.06053813174100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79992840557278"/>
                  <c:y val="0.30288337882394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19733602947581"/>
                  <c:y val="-0.13565686822136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84766296836537"/>
                    </c:manualLayout>
                  </c15:layout>
                </c:ext>
              </c:extLst>
            </c:dLbl>
            <c:dLbl>
              <c:idx val="3"/>
              <c:layout>
                <c:manualLayout>
                  <c:x val="0.411091289161764"/>
                  <c:y val="0.02292701566679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8975"/>
                      <c:h val="0.268449904020335"/>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1254.95</c:v>
                </c:pt>
                <c:pt idx="1">
                  <c:v>226.94</c:v>
                </c:pt>
                <c:pt idx="2">
                  <c:v>133.69</c:v>
                </c:pt>
                <c:pt idx="3">
                  <c:v>128.25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7562806372549"/>
          <c:y val="0.9229461086299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86973058292329"/>
                  <c:y val="-0.18250429383009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69259479455675"/>
                    </c:manualLayout>
                  </c15:layout>
                </c:ext>
              </c:extLst>
            </c:dLbl>
            <c:dLbl>
              <c:idx val="1"/>
              <c:layout>
                <c:manualLayout>
                  <c:x val="-0.334476712251595"/>
                  <c:y val="0.01887895560885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公用经费</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1728.66</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f7b7a-11ba-41bb-bbe6-566be64dfeaa}">
  <ds:schemaRefs/>
</ds:datastoreItem>
</file>

<file path=customXml/itemProps3.xml><?xml version="1.0" encoding="utf-8"?>
<ds:datastoreItem xmlns:ds="http://schemas.openxmlformats.org/officeDocument/2006/customXml" ds:itemID="{d498d281-9ba9-4c7f-9213-71811a25b939}">
  <ds:schemaRefs/>
</ds:datastoreItem>
</file>

<file path=customXml/itemProps4.xml><?xml version="1.0" encoding="utf-8"?>
<ds:datastoreItem xmlns:ds="http://schemas.openxmlformats.org/officeDocument/2006/customXml" ds:itemID="{db8c2ee5-f08d-433c-b46f-62d6e7a3b63b}">
  <ds:schemaRefs/>
</ds:datastoreItem>
</file>

<file path=docProps/app.xml><?xml version="1.0" encoding="utf-8"?>
<Properties xmlns="http://schemas.openxmlformats.org/officeDocument/2006/extended-properties" xmlns:vt="http://schemas.openxmlformats.org/officeDocument/2006/docPropsVTypes">
  <Pages>14</Pages>
  <Words>4376</Words>
  <Characters>5045</Characters>
  <TotalTime>0</TotalTime>
  <ScaleCrop>false</ScaleCrop>
  <LinksUpToDate>false</LinksUpToDate>
  <CharactersWithSpaces>5045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2024-08-15T03:17:42Z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