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4BB7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D6C34F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4BD9AF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D118FB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6F1836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134AEA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6C1EE1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52B9D6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B5809B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鹿邑县玄武镇中心学校</w:t>
      </w:r>
    </w:p>
    <w:p w14:paraId="4579B92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7E3E586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F69A95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78CDB1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37CC0D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985C2C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6E8291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72F722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5B49C2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4757FDB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1FCB9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9CFF72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鹿邑县玄武镇中心学校</w:t>
      </w:r>
      <w:r>
        <w:rPr>
          <w:rFonts w:ascii="黑体" w:hAnsi="黑体" w:eastAsia="黑体" w:cs="黑体"/>
          <w:spacing w:val="11"/>
          <w:sz w:val="31"/>
          <w:szCs w:val="31"/>
          <w:highlight w:val="none"/>
        </w:rPr>
        <w:t>概况</w:t>
      </w:r>
    </w:p>
    <w:p w14:paraId="4700321D">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7CB144CF">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1CEAF0E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鹿邑县玄武镇中心学校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482893F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18B6229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鹿邑县玄武镇中心学校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3A8F271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360AB46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3FF02E5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27DF10B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4A0034E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1E1E10C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9877C8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4FD9411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6FB753A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03EC213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40BFCF3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1CF018A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D5DD4F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C8D0EE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0AF2B8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6C5B5EE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BC4572F">
      <w:pPr>
        <w:rPr>
          <w:rFonts w:hint="eastAsia" w:ascii="仿宋" w:hAnsi="仿宋" w:eastAsia="仿宋" w:cs="仿宋"/>
          <w:spacing w:val="8"/>
          <w:sz w:val="31"/>
          <w:szCs w:val="31"/>
          <w:highlight w:val="none"/>
          <w:lang w:val="en-US" w:eastAsia="zh-CN"/>
        </w:rPr>
      </w:pPr>
      <w:r>
        <w:br w:type="page"/>
      </w:r>
    </w:p>
    <w:p w14:paraId="0D4A4FC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鹿邑县玄武镇中心学校概况</w:t>
      </w:r>
    </w:p>
    <w:p w14:paraId="5DDA2A2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25421BC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2DD199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_GB2312" w:hAnsi="仿宋_GB2312" w:eastAsia="仿宋_GB2312" w:cs="仿宋_GB2312"/>
          <w:bCs/>
          <w:sz w:val="32"/>
          <w:szCs w:val="32"/>
        </w:rPr>
        <w:t>鹿邑县</w:t>
      </w:r>
      <w:r>
        <w:rPr>
          <w:rFonts w:hint="eastAsia" w:ascii="仿宋_GB2312" w:hAnsi="仿宋_GB2312" w:eastAsia="仿宋_GB2312" w:cs="仿宋_GB2312"/>
          <w:bCs/>
          <w:sz w:val="32"/>
          <w:szCs w:val="32"/>
          <w:lang w:val="en-US" w:eastAsia="zh-CN"/>
        </w:rPr>
        <w:t>玄武</w:t>
      </w:r>
      <w:r>
        <w:rPr>
          <w:rFonts w:hint="eastAsia" w:ascii="仿宋_GB2312" w:hAnsi="仿宋_GB2312" w:eastAsia="仿宋_GB2312" w:cs="仿宋_GB2312"/>
          <w:bCs/>
          <w:sz w:val="32"/>
          <w:szCs w:val="32"/>
        </w:rPr>
        <w:t>镇中心学校，股级单位，</w:t>
      </w:r>
      <w:r>
        <w:rPr>
          <w:rFonts w:hint="eastAsia" w:ascii="仿宋_GB2312" w:hAnsi="仿宋_GB2312" w:eastAsia="仿宋_GB2312" w:cs="仿宋_GB2312"/>
          <w:sz w:val="32"/>
          <w:szCs w:val="32"/>
        </w:rPr>
        <w:t>是主管全乡教育事业和语言文字工作的二级预算单位，</w:t>
      </w:r>
      <w:r>
        <w:rPr>
          <w:rFonts w:hint="eastAsia" w:ascii="仿宋_GB2312" w:hAnsi="仿宋_GB2312" w:eastAsia="仿宋_GB2312" w:cs="仿宋_GB2312"/>
          <w:bCs/>
          <w:sz w:val="32"/>
          <w:szCs w:val="32"/>
        </w:rPr>
        <w:t>贾滩镇中心学校下设6个处室（办公室、业务处、总务处、政教处、团委、工会）</w:t>
      </w:r>
      <w:r>
        <w:rPr>
          <w:rFonts w:hint="eastAsia" w:ascii="仿宋_GB2312" w:hAnsi="仿宋_GB2312" w:eastAsia="仿宋_GB2312" w:cs="仿宋_GB2312"/>
          <w:bCs/>
          <w:sz w:val="32"/>
          <w:szCs w:val="32"/>
          <w:lang w:eastAsia="zh-CN"/>
        </w:rPr>
        <w:t>。</w:t>
      </w:r>
    </w:p>
    <w:p w14:paraId="026E8977">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C54A684">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负责本镇辖区内中学、小学、幼儿园的德育、教学、教研、后勤等管理事务。</w:t>
      </w:r>
    </w:p>
    <w:p w14:paraId="490421B4">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66C63107">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14:paraId="5C385DAF">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发挥中小学教师进修培训作用。镇中心学校负责制定并实施本镇中、小学教师继续教育，并针对性组织教师参加培训进修，更新教育观念，提高教师职业道德水平和教育教学能力。</w:t>
      </w:r>
    </w:p>
    <w:p w14:paraId="539B23D4">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管理中、小学学籍。建立全镇适龄儿童、少年档案，掌握全镇每学年适龄儿童、适龄少年人数，严格控制学生辍学，已入学学生建立学籍档案，并报教育行政部门备案。</w:t>
      </w:r>
    </w:p>
    <w:p w14:paraId="2AF16033">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负责本镇中、小学教师的教育教学业务档案的管理、教育统计、教师工资统计、学校报账。管理本部门教育经费；拟定教育经费筹措和管理的规定及财务管理制度；统计并监测全镇教育经费的筹措和使用情况。</w:t>
      </w:r>
    </w:p>
    <w:p w14:paraId="39F5ED44">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协助镇政府组织发动学生入学，负责和协助学校做好社会治安综合治理及安全保卫工作。</w:t>
      </w:r>
    </w:p>
    <w:p w14:paraId="3E12EAD8">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协助教育行政部门做好教师编制核定、资格认定、职务评聘、调配和交流、培训和考核等工作。</w:t>
      </w:r>
    </w:p>
    <w:p w14:paraId="680F4B31">
      <w:pPr>
        <w:keepNext w:val="0"/>
        <w:keepLines w:val="0"/>
        <w:pageBreakBefore w:val="0"/>
        <w:numPr>
          <w:ilvl w:val="0"/>
          <w:numId w:val="2"/>
        </w:numPr>
        <w:overflowPunct/>
        <w:topLinePunct w:val="0"/>
        <w:bidi w:val="0"/>
        <w:spacing w:line="360" w:lineRule="auto"/>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协助镇政府和教育行政部门做好学校布局调整和改造中小学危房等有关工作，</w:t>
      </w:r>
    </w:p>
    <w:p w14:paraId="55098A95">
      <w:pPr>
        <w:keepNext w:val="0"/>
        <w:keepLines w:val="0"/>
        <w:pageBreakBefore w:val="0"/>
        <w:numPr>
          <w:ilvl w:val="0"/>
          <w:numId w:val="2"/>
        </w:numPr>
        <w:overflowPunct/>
        <w:topLinePunct w:val="0"/>
        <w:bidi w:val="0"/>
        <w:spacing w:line="360" w:lineRule="auto"/>
        <w:ind w:firstLine="640"/>
        <w:rPr>
          <w:rStyle w:val="9"/>
          <w:rFonts w:ascii="仿宋_GB2312" w:hAnsi="仿宋_GB2312" w:eastAsia="仿宋_GB2312" w:cs="仿宋_GB2312"/>
          <w:bCs/>
          <w:color w:val="auto"/>
        </w:rPr>
      </w:pPr>
      <w:r>
        <w:rPr>
          <w:rFonts w:hint="eastAsia" w:ascii="仿宋_GB2312" w:hAnsi="仿宋_GB2312" w:eastAsia="仿宋_GB2312" w:cs="仿宋_GB2312"/>
          <w:bCs/>
          <w:sz w:val="32"/>
          <w:szCs w:val="32"/>
        </w:rPr>
        <w:t>在教育行政部门的指导下，负责组织中小学毕业考试、教育教学质量监测评估工作。</w:t>
      </w:r>
    </w:p>
    <w:p w14:paraId="71F5D1C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_GB2312" w:cs="仿宋"/>
          <w:snapToGrid/>
          <w:kern w:val="2"/>
          <w:sz w:val="32"/>
          <w:szCs w:val="32"/>
          <w:highlight w:val="none"/>
          <w:lang w:val="en-US" w:eastAsia="zh-CN" w:bidi="ar-SA"/>
        </w:rPr>
      </w:pP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自觉接受县教育体育局、镇党委、政府及党总支的监督与指导，积极承办镇政府及上级主管</w:t>
      </w:r>
      <w:r>
        <w:rPr>
          <w:rFonts w:hint="eastAsia" w:ascii="仿宋_GB2312" w:hAnsi="仿宋_GB2312" w:eastAsia="仿宋_GB2312" w:cs="仿宋_GB2312"/>
          <w:bCs/>
          <w:sz w:val="32"/>
          <w:szCs w:val="32"/>
          <w:lang w:eastAsia="zh-CN"/>
        </w:rPr>
        <w:t>。</w:t>
      </w:r>
    </w:p>
    <w:p w14:paraId="0FAE50A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3AB7FE7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_GB2312" w:hAnsi="Garamond" w:eastAsia="仿宋_GB2312" w:cs="仿宋_GB2312"/>
          <w:bCs/>
          <w:sz w:val="32"/>
          <w:szCs w:val="32"/>
        </w:rPr>
        <w:t>鹿邑县</w:t>
      </w:r>
      <w:r>
        <w:rPr>
          <w:rFonts w:hint="eastAsia" w:ascii="仿宋_GB2312" w:hAnsi="Garamond" w:eastAsia="仿宋_GB2312" w:cs="仿宋_GB2312"/>
          <w:bCs/>
          <w:sz w:val="32"/>
          <w:szCs w:val="32"/>
          <w:lang w:val="en-US" w:eastAsia="zh-CN"/>
        </w:rPr>
        <w:t>玄武</w:t>
      </w:r>
      <w:r>
        <w:rPr>
          <w:rFonts w:hint="eastAsia" w:ascii="仿宋_GB2312" w:hAnsi="Garamond" w:eastAsia="仿宋_GB2312" w:cs="仿宋_GB2312"/>
          <w:bCs/>
          <w:sz w:val="32"/>
          <w:szCs w:val="32"/>
        </w:rPr>
        <w:t>镇中心学校属鹿邑县教育体育局的二级机构，本</w:t>
      </w:r>
      <w:r>
        <w:rPr>
          <w:rFonts w:hint="eastAsia" w:ascii="仿宋_GB2312" w:hAnsi="Garamond" w:eastAsia="仿宋_GB2312" w:cs="仿宋_GB2312"/>
          <w:bCs/>
          <w:sz w:val="32"/>
          <w:szCs w:val="32"/>
          <w:lang w:val="en-US" w:eastAsia="zh-CN"/>
        </w:rPr>
        <w:t>预算</w:t>
      </w:r>
      <w:r>
        <w:rPr>
          <w:rFonts w:hint="eastAsia" w:ascii="仿宋_GB2312" w:hAnsi="Garamond" w:eastAsia="仿宋_GB2312" w:cs="仿宋_GB2312"/>
          <w:bCs/>
          <w:sz w:val="32"/>
          <w:szCs w:val="32"/>
        </w:rPr>
        <w:t>为鹿邑县</w:t>
      </w:r>
      <w:r>
        <w:rPr>
          <w:rFonts w:hint="eastAsia" w:ascii="仿宋_GB2312" w:hAnsi="Garamond" w:eastAsia="仿宋_GB2312" w:cs="仿宋_GB2312"/>
          <w:bCs/>
          <w:sz w:val="32"/>
          <w:szCs w:val="32"/>
          <w:lang w:val="en-US" w:eastAsia="zh-CN"/>
        </w:rPr>
        <w:t>玄武</w:t>
      </w:r>
      <w:r>
        <w:rPr>
          <w:rFonts w:hint="eastAsia" w:ascii="仿宋_GB2312" w:hAnsi="Garamond" w:eastAsia="仿宋_GB2312" w:cs="仿宋_GB2312"/>
          <w:bCs/>
          <w:sz w:val="32"/>
          <w:szCs w:val="32"/>
        </w:rPr>
        <w:t>镇中心学校</w:t>
      </w:r>
      <w:r>
        <w:rPr>
          <w:rFonts w:hint="eastAsia" w:ascii="仿宋_GB2312" w:hAnsi="Garamond" w:eastAsia="仿宋_GB2312" w:cs="仿宋_GB2312"/>
          <w:bCs/>
          <w:sz w:val="32"/>
          <w:szCs w:val="32"/>
          <w:lang w:val="en-US" w:eastAsia="zh-CN"/>
        </w:rPr>
        <w:t>本级</w:t>
      </w:r>
      <w:r>
        <w:rPr>
          <w:rFonts w:hint="eastAsia" w:ascii="仿宋_GB2312" w:hAnsi="Garamond" w:eastAsia="仿宋_GB2312" w:cs="仿宋_GB2312"/>
          <w:bCs/>
          <w:sz w:val="32"/>
          <w:szCs w:val="32"/>
        </w:rPr>
        <w:t>预算。</w:t>
      </w:r>
    </w:p>
    <w:p w14:paraId="6F8C36EE">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31B69260">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1DC2BA6">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鹿邑县玄武镇中心学校2024年单位预算情况说明</w:t>
      </w:r>
    </w:p>
    <w:p w14:paraId="734EFA3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295B5DA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鹿邑县玄武镇中心学校单位2024年收入总计3086.97万元，支出总计3086.97万元，与2023年预算相比，收、支总计减少201.13万元，下降6.12%，主要原因是：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55C1A3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177790" cy="3375025"/>
            <wp:effectExtent l="5080" t="4445" r="11430" b="1143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14DC1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0B10BFF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鹿邑县玄武镇中心学校单位2024年收入合计3086.97万元，其中：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2497.13</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589.84</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3B8A703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34305" cy="3533140"/>
            <wp:effectExtent l="5080" t="4445" r="5715" b="571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79D3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046E8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鹿邑县玄武镇中心学校单位2024年支出合计3086.97万元，其中：基本支出2418.91万元，占78.36%；项目支出668.06万元，占21.64%。</w:t>
      </w:r>
    </w:p>
    <w:p w14:paraId="57872FD6">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05425" cy="3842385"/>
            <wp:effectExtent l="4445" t="4445" r="11430" b="1397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4AB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5DE83B6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鹿邑县玄武镇中心学校单位2024年一般公共预算收支预算3086.97万元，政府性基金收支预算0.00万元，国有资本经营预算0.00万元。与2023年相比，一般公共预算收支预算减少201.13万元，下降6.12%，主要原因是：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99D34B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322570" cy="3476625"/>
            <wp:effectExtent l="4445" t="4445" r="6985" b="1143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38C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C0FBC37">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鹿邑县玄武镇中心学校单位2024年一般公共预算支出年初预算为2497.13万元。其中</w:t>
      </w:r>
      <w:r>
        <w:rPr>
          <w:rFonts w:hint="eastAsia" w:ascii="仿宋" w:hAnsi="仿宋" w:eastAsia="仿宋" w:cs="仿宋"/>
          <w:sz w:val="32"/>
          <w:szCs w:val="32"/>
          <w:highlight w:val="none"/>
          <w:lang w:val="en-US" w:eastAsia="zh-CN"/>
        </w:rPr>
        <w:t>基本支出2418.91万元，占96.87%；项目支出78.22万元，占3.13%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0D04CFC5">
      <w:pPr>
        <w:spacing w:line="59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1、教育支出</w:t>
      </w:r>
      <w:r>
        <w:rPr>
          <w:rFonts w:hint="eastAsia" w:ascii="仿宋_GB2312" w:eastAsia="仿宋_GB2312" w:cs="Arial"/>
          <w:sz w:val="32"/>
          <w:szCs w:val="32"/>
          <w:lang w:val="en-US" w:eastAsia="zh-CN"/>
        </w:rPr>
        <w:t>1770.00</w:t>
      </w:r>
      <w:r>
        <w:rPr>
          <w:rFonts w:hint="eastAsia" w:ascii="仿宋_GB2312" w:hAnsi="仿宋_GB2312" w:eastAsia="仿宋_GB2312" w:cs="仿宋_GB2312"/>
          <w:sz w:val="32"/>
          <w:szCs w:val="32"/>
        </w:rPr>
        <w:t>万元，占</w:t>
      </w:r>
      <w:r>
        <w:rPr>
          <w:rFonts w:hint="eastAsia" w:ascii="仿宋_GB2312" w:eastAsia="仿宋_GB2312" w:cs="Arial"/>
          <w:sz w:val="32"/>
          <w:szCs w:val="32"/>
          <w:lang w:val="en-US" w:eastAsia="zh-CN"/>
        </w:rPr>
        <w:t>70.88</w:t>
      </w:r>
      <w:r>
        <w:rPr>
          <w:rFonts w:hint="eastAsia" w:ascii="仿宋_GB2312" w:hAnsi="仿宋_GB2312" w:eastAsia="仿宋_GB2312" w:cs="仿宋_GB2312"/>
          <w:sz w:val="32"/>
          <w:szCs w:val="32"/>
        </w:rPr>
        <w:t>%。其中：普通教育</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小学教育（项）支出</w:t>
      </w:r>
      <w:r>
        <w:rPr>
          <w:rFonts w:hint="eastAsia" w:ascii="仿宋_GB2312" w:eastAsia="仿宋_GB2312" w:cs="Arial"/>
          <w:sz w:val="32"/>
          <w:szCs w:val="32"/>
          <w:lang w:val="en-US" w:eastAsia="zh-CN"/>
        </w:rPr>
        <w:t>1770.00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42672034">
      <w:pPr>
        <w:spacing w:line="59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2、社会保障和就业支出</w:t>
      </w:r>
      <w:r>
        <w:rPr>
          <w:rFonts w:hint="eastAsia" w:ascii="仿宋_GB2312" w:hAnsi="仿宋_GB2312" w:eastAsia="仿宋_GB2312" w:cs="仿宋_GB2312"/>
          <w:sz w:val="32"/>
          <w:szCs w:val="32"/>
          <w:lang w:val="en-US" w:eastAsia="zh-CN"/>
        </w:rPr>
        <w:t>391.49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15.68</w:t>
      </w:r>
      <w:r>
        <w:rPr>
          <w:rFonts w:hint="eastAsia" w:ascii="仿宋_GB2312" w:hAnsi="仿宋_GB2312" w:eastAsia="仿宋_GB2312" w:cs="仿宋_GB2312"/>
          <w:sz w:val="32"/>
          <w:szCs w:val="32"/>
        </w:rPr>
        <w:t>%。其中：行政事业单位离退休</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机关事业单位基本养老保险缴费支出（项）支出</w:t>
      </w:r>
      <w:r>
        <w:rPr>
          <w:rFonts w:hint="eastAsia" w:ascii="仿宋_GB2312" w:hAnsi="仿宋_GB2312" w:eastAsia="仿宋_GB2312" w:cs="仿宋_GB2312"/>
          <w:sz w:val="32"/>
          <w:szCs w:val="32"/>
          <w:lang w:val="en-US" w:eastAsia="zh-CN"/>
        </w:rPr>
        <w:t>263.66</w:t>
      </w:r>
      <w:r>
        <w:rPr>
          <w:rFonts w:hint="eastAsia" w:ascii="仿宋_GB2312" w:hAnsi="仿宋_GB2312" w:eastAsia="仿宋_GB2312" w:cs="仿宋_GB2312"/>
          <w:sz w:val="32"/>
          <w:szCs w:val="32"/>
        </w:rPr>
        <w:t>万元；其他社会保障和就业</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其他社会保障和就业（项）支出</w:t>
      </w:r>
      <w:r>
        <w:rPr>
          <w:rFonts w:hint="eastAsia" w:ascii="仿宋_GB2312" w:hAnsi="仿宋_GB2312" w:eastAsia="仿宋_GB2312" w:cs="仿宋_GB2312"/>
          <w:sz w:val="32"/>
          <w:szCs w:val="32"/>
          <w:lang w:val="en-US" w:eastAsia="zh-CN"/>
        </w:rPr>
        <w:t>75.12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抚恤（款）死亡抚恤（项）52.71万元</w:t>
      </w:r>
      <w:r>
        <w:rPr>
          <w:rFonts w:hint="eastAsia" w:ascii="仿宋_GB2312" w:hAnsi="仿宋_GB2312" w:eastAsia="仿宋_GB2312" w:cs="仿宋_GB2312"/>
          <w:sz w:val="32"/>
          <w:szCs w:val="32"/>
          <w:lang w:eastAsia="zh-CN"/>
        </w:rPr>
        <w:t>。</w:t>
      </w:r>
    </w:p>
    <w:p w14:paraId="16642863">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3、卫生健康支出</w:t>
      </w:r>
      <w:r>
        <w:rPr>
          <w:rFonts w:hint="eastAsia" w:ascii="仿宋_GB2312" w:hAnsi="仿宋_GB2312" w:eastAsia="仿宋_GB2312" w:cs="仿宋_GB2312"/>
          <w:sz w:val="32"/>
          <w:szCs w:val="32"/>
          <w:lang w:val="en-US" w:eastAsia="zh-CN"/>
        </w:rPr>
        <w:t>176.36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%。其中：行政事业单位医疗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事业单位医疗（项）支出</w:t>
      </w:r>
      <w:r>
        <w:rPr>
          <w:rFonts w:hint="eastAsia" w:ascii="仿宋_GB2312" w:hAnsi="仿宋_GB2312" w:eastAsia="仿宋_GB2312" w:cs="仿宋_GB2312"/>
          <w:sz w:val="32"/>
          <w:szCs w:val="32"/>
          <w:lang w:val="en-US" w:eastAsia="zh-CN"/>
        </w:rPr>
        <w:t>105.47</w:t>
      </w:r>
      <w:r>
        <w:rPr>
          <w:rFonts w:hint="eastAsia" w:ascii="仿宋_GB2312" w:hAnsi="仿宋_GB2312" w:eastAsia="仿宋_GB2312" w:cs="仿宋_GB2312"/>
          <w:sz w:val="32"/>
          <w:szCs w:val="32"/>
        </w:rPr>
        <w:t>万元；行政事业单位医疗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其他行政事业单位医疗（项）支出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w:t>
      </w:r>
    </w:p>
    <w:p w14:paraId="50D46204">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4、住房保障支出</w:t>
      </w:r>
      <w:r>
        <w:rPr>
          <w:rFonts w:hint="eastAsia" w:ascii="仿宋_GB2312" w:hAnsi="仿宋_GB2312" w:eastAsia="仿宋_GB2312" w:cs="仿宋_GB2312"/>
          <w:sz w:val="32"/>
          <w:szCs w:val="32"/>
          <w:lang w:val="en-US" w:eastAsia="zh-CN"/>
        </w:rPr>
        <w:t>159.28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%。其中：住房改革支出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sz w:val="32"/>
          <w:szCs w:val="32"/>
        </w:rPr>
        <w:t>住房公积金（项）支出</w:t>
      </w:r>
      <w:r>
        <w:rPr>
          <w:rFonts w:hint="eastAsia" w:ascii="仿宋_GB2312" w:hAnsi="仿宋_GB2312" w:eastAsia="仿宋_GB2312" w:cs="仿宋_GB2312"/>
          <w:sz w:val="32"/>
          <w:szCs w:val="32"/>
          <w:lang w:val="en-US" w:eastAsia="zh-CN"/>
        </w:rPr>
        <w:t>159.28</w:t>
      </w:r>
      <w:r>
        <w:rPr>
          <w:rFonts w:hint="eastAsia" w:ascii="仿宋_GB2312" w:hAnsi="仿宋_GB2312" w:eastAsia="仿宋_GB2312" w:cs="仿宋_GB2312"/>
          <w:sz w:val="32"/>
          <w:szCs w:val="32"/>
        </w:rPr>
        <w:t>万元。</w:t>
      </w:r>
    </w:p>
    <w:p w14:paraId="02388710">
      <w:pPr>
        <w:spacing w:line="240" w:lineRule="auto"/>
        <w:ind w:firstLine="0" w:firstLineChars="0"/>
        <w:jc w:val="center"/>
        <w:rPr>
          <w:rFonts w:hint="eastAsia"/>
        </w:rPr>
      </w:pPr>
      <w:r>
        <w:drawing>
          <wp:inline distT="0" distB="0" distL="114300" distR="114300">
            <wp:extent cx="5273040" cy="3823335"/>
            <wp:effectExtent l="4445" t="4445" r="5715" b="762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7E23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D30FD5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鹿邑县玄武镇中心学校单位2024年一般公共预算基本支出年初预算为2418.91万元，其中：人员经费支出2418.91万元，占100.00%；公用经费支出0.00万元，占0.00%。</w:t>
      </w:r>
    </w:p>
    <w:p w14:paraId="40AC85B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05730" cy="3728720"/>
            <wp:effectExtent l="4445" t="4445" r="9525" b="1333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55A69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2703E77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一般公共预算基本支出年初预算为2418.91万元，其中：人员经费支出2418.91万元，占100.00%；主要包括：基本工资1182.97万元、津贴补贴224.87万元、绩效工资289.30万元、机关事业单位基本养老保险缴费263.66万元、医疗保险缴费105.47万元、其他社会保障缴费90.67万元、住房公积金159.28万元、退休费47.35万元、生活补助55.34万元。公用经费支出0.00万元，占0.00%。</w:t>
      </w:r>
    </w:p>
    <w:p w14:paraId="547CFF6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30CBA9C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鹿邑县玄武镇中心学校2024年单位机构运行经费支出预算0.00万元，主要保障机关机构正常运转及正常履职需要的办公费、水电费、物业费、维修费、差旅费等支出，与2023年相比持平，主要原因：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288C943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6DC48C3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玄武镇中心学校2024年单位预算支出3086.97万元，其中：301工资福利支出2554.00万元，主要包括：基本工资1208.48万元、津贴补贴224.87万元、绩效工资289.30万元、基本养老保险缴费263.66万元、医疗保险缴费105.47万元、其他社会保障缴费302.94万元、住房公积金159.28万元；302商品和服务支出356.42万元，主要包括：办公费356.42万元；303对个人和家庭的补助支出176.55万元，主要包括：生活补助64.97万元、退休费58.87万元、抚恤金52.71万元等。</w:t>
      </w:r>
    </w:p>
    <w:p w14:paraId="7AACE1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8B1332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E3D36D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11017A2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666890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95077B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E01C5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1673919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鹿邑县玄武镇中心学校2024年无政府性基金预算拨款安排的支出。</w:t>
      </w:r>
    </w:p>
    <w:p w14:paraId="5D24C4D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5C3E643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鹿邑县玄武镇中心学校2024年无国有资本经营预算拨款安排的支出。</w:t>
      </w:r>
    </w:p>
    <w:p w14:paraId="2DF4C90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10D2DE8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38C5282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20052B9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3086.97万元，其中：人员经费支出2418.91万元，公用经费支出0.00万元，项目支出总额668.06万元。支出项目共7个，其中：预算支出100万元及100万元以上的重点项目2个，支出总额556.99万元。均按要求编制了绩效目标，从项目产出、项目效益、满意度等方面设置了绩效指标，综合反映项目预期完成的数量、实效、质量，预期达到的社会经济效益、可持续影响以及服务对象满意度等情况。</w:t>
      </w:r>
    </w:p>
    <w:p w14:paraId="29F1AFF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0B3184E2">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6BD7862F">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2023年期末，鹿邑县玄武镇中心学校固定资产总额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6A29C0A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324D6CC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玄武镇中心学校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6801C55">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5DDA7D1">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_GB2312" w:hAnsi="仿宋_GB2312" w:eastAsia="仿宋_GB2312" w:cs="仿宋_GB2312"/>
          <w:sz w:val="32"/>
          <w:szCs w:val="32"/>
        </w:rPr>
        <w:t>鹿邑县</w:t>
      </w:r>
      <w:r>
        <w:rPr>
          <w:rFonts w:hint="eastAsia" w:ascii="仿宋_GB2312" w:hAnsi="仿宋_GB2312" w:eastAsia="仿宋_GB2312" w:cs="仿宋_GB2312"/>
          <w:sz w:val="32"/>
          <w:szCs w:val="32"/>
          <w:lang w:val="en-US" w:eastAsia="zh-CN"/>
        </w:rPr>
        <w:t>玄武镇</w:t>
      </w:r>
      <w:r>
        <w:rPr>
          <w:rFonts w:hint="eastAsia" w:ascii="仿宋_GB2312" w:hAnsi="仿宋_GB2312" w:eastAsia="仿宋_GB2312" w:cs="仿宋_GB2312"/>
          <w:sz w:val="32"/>
          <w:szCs w:val="32"/>
        </w:rPr>
        <w:t>中心学校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年没有债务收入支出项目安排。</w:t>
      </w:r>
      <w:r>
        <w:br w:type="page"/>
      </w:r>
    </w:p>
    <w:p w14:paraId="71704163">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86F280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5B48062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071F6E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356EE91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41834AF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7AA2800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91525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B62306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584F3A6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3985D64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4699E50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38028E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28817C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424BC84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附件：鹿邑县玄武镇中心学校2024年度单位预算表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C3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056CE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PL0KsCAgAACw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MVrzpyw1PLz92/nH7/O&#10;P7+yWTKo86GkvHu/xXEXCCa1fYM2fUkH67Opp6upqo9MUnC2mC8WU/Jb0tllQzzFw+8eQ3yvwLIE&#10;Ko7UtWymON6GOKReUtJtDjbaGIqL0rg/AsSZIkWqeKgxodjv+rHwHdQn0oswDELwcqPpzlsR4lYg&#10;dZ7qpLcR72hpDHQVhxFx1gJ++Vc85VND6JSzjiap4o4eDmfmg6NGpaG7ALyA3QW4g30HNJozzjCa&#10;DOkH4STRVTxydvCo922uNikN/u0hkvzsStI2CBol04xkX8d5TkP4eJ+zHt7w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A8vQqwICAAALBAAADgAAAAAAAAABACAAAAAfAQAAZHJzL2Uyb0Rv&#10;Yy54bWxQSwUGAAAAAAYABgBZAQAAkwUAAAAA&#10;">
              <v:fill on="f" focussize="0,0"/>
              <v:stroke on="f"/>
              <v:imagedata o:title=""/>
              <o:lock v:ext="edit" aspectratio="f"/>
              <v:textbox inset="0mm,0mm,0mm,0mm" style="mso-fit-shape-to-text:t;">
                <w:txbxContent>
                  <w:p w14:paraId="2056CEC3">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FC0E"/>
    <w:multiLevelType w:val="singleLevel"/>
    <w:tmpl w:val="8B96FC0E"/>
    <w:lvl w:ilvl="0" w:tentative="0">
      <w:start w:val="1"/>
      <w:numFmt w:val="decimal"/>
      <w:suff w:val="nothing"/>
      <w:lvlText w:val="%1、"/>
      <w:lvlJc w:val="left"/>
      <w:pPr>
        <w:ind w:left="-10"/>
      </w:p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3503222"/>
    <w:rsid w:val="176A6BC1"/>
    <w:rsid w:val="1C46428F"/>
    <w:rsid w:val="2F1875E9"/>
    <w:rsid w:val="71D9096F"/>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 w:type="character" w:customStyle="1" w:styleId="9">
    <w:name w:val="fontstyle31"/>
    <w:basedOn w:val="7"/>
    <w:qFormat/>
    <w:uiPriority w:val="99"/>
    <w:rPr>
      <w:rFonts w:ascii="仿宋" w:hAnsi="仿宋"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3086.97</c:v>
                </c:pt>
                <c:pt idx="1" c:formatCode="#.00&quot;万&quot;&quot;元&quot;">
                  <c:v>3288.1</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15236051502146"/>
          <c:y val="0.0071798962903869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981759656652356"/>
                  <c:y val="0.087142212987109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14631065869775"/>
                    </c:manualLayout>
                  </c15:layout>
                </c:ext>
              </c:extLst>
            </c:dLbl>
            <c:dLbl>
              <c:idx val="1"/>
              <c:layout>
                <c:manualLayout>
                  <c:x val="-0.155919475179491"/>
                  <c:y val="-0.0562154077678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91981627724747"/>
                  <c:y val="0.0526525727961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1911384684888"/>
                      <c:h val="0.160164271047228"/>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[鹿邑预算公开图表模板.xlsx]Sheet1!$D$20:$F$20</c:f>
              <c:strCache>
                <c:ptCount val="3"/>
                <c:pt idx="0">
                  <c:v>上年结转结余收入</c:v>
                </c:pt>
                <c:pt idx="1">
                  <c:v>一般公共预算</c:v>
                </c:pt>
                <c:pt idx="2">
                  <c:v>政府性基金</c:v>
                </c:pt>
              </c:strCache>
            </c:strRef>
          </c:cat>
          <c:val>
            <c:numRef>
              <c:f>[鹿邑预算公开图表模板.xlsx]Sheet1!$D$21:$F$21</c:f>
              <c:numCache>
                <c:formatCode>#.00"万""元"</c:formatCode>
                <c:ptCount val="3"/>
                <c:pt idx="0">
                  <c:v>589.84</c:v>
                </c:pt>
                <c:pt idx="1">
                  <c:v>2497.13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2418.91</c:v>
                </c:pt>
                <c:pt idx="1">
                  <c:v>668.06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3086.97</c:v>
                </c:pt>
                <c:pt idx="1" c:formatCode="0.00_ ">
                  <c:v>3288.1</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398876793003315"/>
                  <c:y val="0.024497576613089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8285265186089"/>
                  <c:y val="0.34440974194113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27391873084034"/>
                  <c:y val="-0.11272985255456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8400228819724"/>
                    </c:manualLayout>
                  </c15:layout>
                </c:ext>
              </c:extLst>
            </c:dLbl>
            <c:dLbl>
              <c:idx val="3"/>
              <c:layout>
                <c:manualLayout>
                  <c:x val="0.411091289161764"/>
                  <c:y val="0.042233499698413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164323041200312"/>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1770</c:v>
                </c:pt>
                <c:pt idx="1">
                  <c:v>391.49</c:v>
                </c:pt>
                <c:pt idx="2">
                  <c:v>176.36</c:v>
                </c:pt>
                <c:pt idx="3">
                  <c:v>159.28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0009031791908"/>
          <c:y val="0.922198556485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76269285212318"/>
                  <c:y val="-0.063598229620821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34476712251595"/>
                  <c:y val="0.01887895560885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公用经费</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2418.91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ed1d8-5e24-4c00-897a-8e58859a5b87}">
  <ds:schemaRefs/>
</ds:datastoreItem>
</file>

<file path=customXml/itemProps3.xml><?xml version="1.0" encoding="utf-8"?>
<ds:datastoreItem xmlns:ds="http://schemas.openxmlformats.org/officeDocument/2006/customXml" ds:itemID="{067de47e-2bae-44fd-b7c2-c25d8abda839}">
  <ds:schemaRefs/>
</ds:datastoreItem>
</file>

<file path=customXml/itemProps4.xml><?xml version="1.0" encoding="utf-8"?>
<ds:datastoreItem xmlns:ds="http://schemas.openxmlformats.org/officeDocument/2006/customXml" ds:itemID="{e17697ec-66a3-4bad-8867-77b8216acf73}">
  <ds:schemaRefs/>
</ds:datastoreItem>
</file>

<file path=docProps/app.xml><?xml version="1.0" encoding="utf-8"?>
<Properties xmlns="http://schemas.openxmlformats.org/officeDocument/2006/extended-properties" xmlns:vt="http://schemas.openxmlformats.org/officeDocument/2006/docPropsVTypes">
  <Pages>14</Pages>
  <Words>4389</Words>
  <Characters>5064</Characters>
  <TotalTime>8</TotalTime>
  <ScaleCrop>false</ScaleCrop>
  <LinksUpToDate>false</LinksUpToDate>
  <CharactersWithSpaces>5074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2024-08-15T03:35:45Z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