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903A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EE82C0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D56060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D90397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153CF6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A1F40E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8D1AA5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6BB00F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EEEBA3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鹿邑县赵村乡中心学校</w:t>
      </w:r>
    </w:p>
    <w:p w14:paraId="561BA15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说明</w:t>
      </w:r>
    </w:p>
    <w:p w14:paraId="46207F2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F99FB4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774F49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65C7B8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C7E42B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552F53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A750CE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1692C4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5752685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7EA793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27BCDDEB">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鹿邑县赵村乡中心学校</w:t>
      </w:r>
      <w:r>
        <w:rPr>
          <w:rFonts w:ascii="黑体" w:hAnsi="黑体" w:eastAsia="黑体" w:cs="黑体"/>
          <w:spacing w:val="11"/>
          <w:sz w:val="31"/>
          <w:szCs w:val="31"/>
          <w:highlight w:val="none"/>
        </w:rPr>
        <w:t>概况</w:t>
      </w:r>
    </w:p>
    <w:p w14:paraId="6472FB43">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1208AEBB">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3EEAA20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鹿邑县赵村乡中心学校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1E1AEDE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411B43A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鹿邑县赵村乡中心学校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5A7819F7">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752319BB">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4292779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26BE48E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050A2FE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33B97E7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0477BC7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63117CDC">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1A7CCFB7">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7BCD58C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5170AB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4062575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22D4F959">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6ECDB83">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4BCC0DC9">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60464B0D">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十六、2024年单位预算项目绩效目标表</w:t>
      </w:r>
    </w:p>
    <w:p w14:paraId="6420BB9E">
      <w:pPr>
        <w:rPr>
          <w:rFonts w:hint="eastAsia" w:ascii="仿宋" w:hAnsi="仿宋" w:eastAsia="仿宋" w:cs="仿宋"/>
          <w:spacing w:val="8"/>
          <w:sz w:val="31"/>
          <w:szCs w:val="31"/>
          <w:highlight w:val="none"/>
          <w:lang w:val="en-US" w:eastAsia="zh-CN"/>
        </w:rPr>
      </w:pPr>
      <w:r>
        <w:br w:type="page"/>
      </w:r>
    </w:p>
    <w:p w14:paraId="7A530BA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鹿邑县赵村乡中心学校概况</w:t>
      </w:r>
    </w:p>
    <w:p w14:paraId="343D4FE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6BA0CDC">
      <w:pPr>
        <w:spacing w:line="57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(一)机构设置情况</w:t>
      </w:r>
    </w:p>
    <w:p w14:paraId="777CBFEC">
      <w:pPr>
        <w:spacing w:line="57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sz w:val="32"/>
          <w:szCs w:val="32"/>
        </w:rPr>
        <w:t>鹿邑县赵村乡中心学校，是主管全乡教育事业和语言文字工作的二级预算单位，</w:t>
      </w:r>
      <w:r>
        <w:rPr>
          <w:rFonts w:hint="eastAsia" w:ascii="仿宋_GB2312" w:hAnsi="仿宋_GB2312" w:eastAsia="仿宋_GB2312" w:cs="仿宋_GB2312"/>
          <w:sz w:val="32"/>
          <w:szCs w:val="32"/>
          <w:highlight w:val="yellow"/>
        </w:rPr>
        <w:t>现有在编人员203人，退休人员210人，享受遗属补助45人。鹿邑县赵村乡中心学校内设6个处室（分别是办公室、业务处、总务室、政教处、团委、工会）</w:t>
      </w:r>
      <w:r>
        <w:rPr>
          <w:rFonts w:hint="eastAsia" w:ascii="仿宋_GB2312" w:hAnsi="仿宋_GB2312" w:eastAsia="仿宋_GB2312" w:cs="仿宋_GB2312"/>
          <w:kern w:val="0"/>
          <w:sz w:val="32"/>
          <w:szCs w:val="32"/>
          <w:highlight w:val="yellow"/>
        </w:rPr>
        <w:t>。</w:t>
      </w:r>
    </w:p>
    <w:p w14:paraId="47B9A82D">
      <w:pPr>
        <w:spacing w:line="57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（二）单位职责</w:t>
      </w:r>
    </w:p>
    <w:p w14:paraId="68405698">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负责本乡辖区内中学、小学、幼儿园的德育、教学、教研、后勤等管理事务。</w:t>
      </w:r>
    </w:p>
    <w:p w14:paraId="14A9D163">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拟定全乡教育发展战略和教育工作的规定、办法，监督和检查所属学校对党和国家的教育方针、政策、法规的贯彻执行，依法办学，不断提高管理水平和教育质量，不断改善办学水平和提高教育质量，促进全乡中小学教育均衡发展。</w:t>
      </w:r>
    </w:p>
    <w:p w14:paraId="31BCF034">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和指导全乡教育教学研究工作，规划、指导教育现代化和教育信息化工作，发挥中小学教研中心作用。在中心学校统一领导下，组织全乡中小学教师开展教育教学研究课、教学观摩、教学竞赛、课题实验、经验交流、教学基本功训练、专题研讨等教研活动。</w:t>
      </w:r>
    </w:p>
    <w:p w14:paraId="5E8835EB">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发挥中小学教师进修培训作用。负责制定并实施本乡中、小学教师继续教育，并针对性组织教师参加培训进修，更新教育观念，提高教师职业道德水平和教育教学能力。</w:t>
      </w:r>
    </w:p>
    <w:p w14:paraId="0F6EAD99">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管理中、小学学籍。建立全乡适龄儿童、少年档案，掌握全乡每学年适龄儿童、适龄少年人数，严格控制学生辍学，已入学学生建立学籍档案，并报教育行政部门备案。</w:t>
      </w:r>
    </w:p>
    <w:p w14:paraId="3B3EA323">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负责本乡中、小学教师的教育教学业务档案的管理、教育统计、教师工资统计、学校报账。管理本部门教育经费；拟定教育经费筹措和管理的规定及财务管理制度；统计并监测全乡教育经费的筹措和使用情况。</w:t>
      </w:r>
    </w:p>
    <w:p w14:paraId="604D09BA">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协助乡政府组织发动学生入学，负责和协助学校做好社会治安综合治理及安全保卫工作。</w:t>
      </w:r>
    </w:p>
    <w:p w14:paraId="3EB26F26">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协助教育行政部门做好教师编制核定、资格认定、职务评聘、调配和交流、培训和考核等工作。</w:t>
      </w:r>
    </w:p>
    <w:p w14:paraId="479F729D">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协助乡政府和教育行政部门做好学校布局调整和改造中小学危房等有关工作，</w:t>
      </w:r>
    </w:p>
    <w:p w14:paraId="5452A3E7">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在教育行政部门的指导下，负责组织中小学毕业考试、教育教学质量监测评估工作。</w:t>
      </w:r>
    </w:p>
    <w:p w14:paraId="5D81B1AF">
      <w:pPr>
        <w:numPr>
          <w:ilvl w:val="0"/>
          <w:numId w:val="1"/>
        </w:numPr>
        <w:overflowPunct w:val="0"/>
        <w:spacing w:line="61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自觉接受县教育体育局、乡党委、政府及党总支的监督与指导，积极承办乡政府及上级主管部门交办的其他事项。</w:t>
      </w:r>
    </w:p>
    <w:p w14:paraId="775F9C54">
      <w:pPr>
        <w:kinsoku w:val="0"/>
        <w:overflowPunct w:val="0"/>
        <w:autoSpaceDE w:val="0"/>
        <w:autoSpaceDN w:val="0"/>
        <w:adjustRightInd w:val="0"/>
        <w:snapToGrid w:val="0"/>
        <w:spacing w:line="570" w:lineRule="exact"/>
        <w:ind w:firstLine="640" w:firstLineChars="200"/>
        <w:jc w:val="left"/>
        <w:outlineLvl w:val="0"/>
        <w:rPr>
          <w:rFonts w:ascii="黑体" w:hAnsi="仿宋_GB2312" w:eastAsia="黑体" w:cs="仿宋_GB2312"/>
          <w:color w:val="000000"/>
          <w:sz w:val="32"/>
          <w:szCs w:val="32"/>
        </w:rPr>
      </w:pPr>
      <w:r>
        <w:rPr>
          <w:rFonts w:hint="eastAsia" w:ascii="黑体" w:hAnsi="仿宋_GB2312" w:eastAsia="黑体" w:cs="仿宋_GB2312"/>
          <w:color w:val="000000"/>
          <w:sz w:val="32"/>
          <w:szCs w:val="32"/>
        </w:rPr>
        <w:t>二、鹿邑县赵村乡中心学校预算单位构成</w:t>
      </w:r>
    </w:p>
    <w:p w14:paraId="4BEA1C44">
      <w:pPr>
        <w:kinsoku w:val="0"/>
        <w:overflowPunct w:val="0"/>
        <w:adjustRightInd w:val="0"/>
        <w:snapToGrid w:val="0"/>
        <w:spacing w:line="57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鹿邑县赵村乡中心学校为二级预算单位，本预算为鹿邑县赵村乡中心学校</w:t>
      </w:r>
      <w:r>
        <w:rPr>
          <w:rFonts w:hint="eastAsia" w:ascii="仿宋_GB2312" w:hAnsi="仿宋_GB2312" w:eastAsia="仿宋_GB2312" w:cs="仿宋_GB2312"/>
          <w:sz w:val="32"/>
          <w:szCs w:val="32"/>
          <w:lang w:val="en-US" w:eastAsia="zh-CN"/>
        </w:rPr>
        <w:t>本级预算</w:t>
      </w:r>
      <w:r>
        <w:rPr>
          <w:rFonts w:hint="eastAsia" w:ascii="仿宋_GB2312" w:hAnsi="仿宋_GB2312" w:eastAsia="仿宋_GB2312" w:cs="仿宋_GB2312"/>
          <w:sz w:val="32"/>
          <w:szCs w:val="32"/>
        </w:rPr>
        <w:t>。</w:t>
      </w:r>
    </w:p>
    <w:p w14:paraId="04B02A4F">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1DDFA15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鹿邑县赵村乡中心学校2024年单位预算情况说明</w:t>
      </w:r>
    </w:p>
    <w:p w14:paraId="26A4F1F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03116C3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鹿邑县赵村乡中心学校单位2024年收入总计2647.97万元，支出总计2647.97万元，与2023年预算相比，收、支总计减少79.96万元，下降2.93%，主要原因是：</w:t>
      </w:r>
      <w:r>
        <w:rPr>
          <w:rFonts w:hint="eastAsia" w:ascii="仿宋" w:hAnsi="仿宋" w:eastAsia="仿宋" w:cs="仿宋"/>
          <w:snapToGrid/>
          <w:kern w:val="2"/>
          <w:sz w:val="32"/>
          <w:szCs w:val="32"/>
          <w:highlight w:val="yellow"/>
          <w:lang w:val="en-US" w:eastAsia="zh-CN" w:bidi="ar-SA"/>
        </w:rPr>
        <w:t>******。</w:t>
      </w:r>
    </w:p>
    <w:p w14:paraId="40AE6CD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297805" cy="4197985"/>
            <wp:effectExtent l="5080" t="4445" r="5715" b="1397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DC42A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0BD899E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鹿邑县赵村乡中心学校单位2024年收入合计2647.97万元，其中：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2086.44</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561.53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0CE3BA14">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94960" cy="3868420"/>
            <wp:effectExtent l="4445" t="4445" r="10795" b="1333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45838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0EA118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鹿邑县赵村乡中心学校单位2024年支出合计2647.97万元，其中：基本支出2041.28万元，占77.09%；项目支出606.69万元，占22.91%。</w:t>
      </w:r>
    </w:p>
    <w:p w14:paraId="0157956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61305" cy="3733800"/>
            <wp:effectExtent l="4445" t="4445" r="6350" b="825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5AC0F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41D584C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鹿邑县赵村乡中心学校单位2024年一般公共预算收支预算2647.97万元，政府性基金收支预算0.00万元，国有资本经营预算0.00万元。与2023年相比，一般公共预算收支预算减少79.96万元，下降2.93%，主要原因是：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0904C5D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441950" cy="3736975"/>
            <wp:effectExtent l="4445" t="4445" r="14605" b="508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ED8EB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0FB33594">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鹿邑县赵村乡中心学校单位2024年一般公共预算支出年初预算为2086.44万元。其中</w:t>
      </w:r>
      <w:r>
        <w:rPr>
          <w:rFonts w:hint="eastAsia" w:ascii="仿宋" w:hAnsi="仿宋" w:eastAsia="仿宋" w:cs="仿宋"/>
          <w:sz w:val="32"/>
          <w:szCs w:val="32"/>
          <w:highlight w:val="none"/>
          <w:lang w:val="en-US" w:eastAsia="zh-CN"/>
        </w:rPr>
        <w:t>基本支出2041.28万元，占97.84%；项目支出45.16万元，占2.16%</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C88B91E">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教育支出</w:t>
      </w:r>
      <w:r>
        <w:rPr>
          <w:rFonts w:hint="eastAsia" w:ascii="仿宋_GB2312" w:hAnsi="仿宋_GB2312" w:eastAsia="仿宋_GB2312" w:cs="仿宋_GB2312"/>
          <w:sz w:val="32"/>
          <w:szCs w:val="32"/>
          <w:lang w:val="en-US" w:eastAsia="zh-CN"/>
        </w:rPr>
        <w:t>1524.46</w:t>
      </w:r>
      <w:r>
        <w:rPr>
          <w:rFonts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70.06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。其中：普通教育（款）小学教育（项）支出</w:t>
      </w:r>
      <w:r>
        <w:rPr>
          <w:rFonts w:hint="eastAsia" w:ascii="仿宋_GB2312" w:hAnsi="仿宋_GB2312" w:eastAsia="仿宋_GB2312" w:cs="仿宋_GB2312"/>
          <w:sz w:val="32"/>
          <w:szCs w:val="32"/>
          <w:lang w:val="en-US" w:eastAsia="zh-CN"/>
        </w:rPr>
        <w:t>1524.46</w:t>
      </w:r>
      <w:r>
        <w:rPr>
          <w:rFonts w:hint="eastAsia" w:ascii="仿宋_GB2312" w:hAnsi="仿宋_GB2312" w:eastAsia="仿宋_GB2312" w:cs="仿宋_GB2312"/>
          <w:sz w:val="32"/>
          <w:szCs w:val="32"/>
        </w:rPr>
        <w:t>万元。</w:t>
      </w:r>
    </w:p>
    <w:p w14:paraId="13BB68F3">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250.78</w:t>
      </w:r>
      <w:r>
        <w:rPr>
          <w:rFonts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12.02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。其中：行政事业单位养老支出（款）机关事业单位基本养老保险缴费支出（项）支出199.49万元；其他社会保障和就业（款）其他社会保障和就业（项）支出51.29万元。</w:t>
      </w:r>
    </w:p>
    <w:p w14:paraId="6636DD0A">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144.76</w:t>
      </w:r>
      <w:r>
        <w:rPr>
          <w:rFonts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。其中：行政事业单位医疗（款）事业单位医疗（项）支出80.08万元；行政事业单位医疗（款）其他行政事业单位医疗（项）支出64.68万元。</w:t>
      </w:r>
    </w:p>
    <w:p w14:paraId="38C774FA">
      <w:pPr>
        <w:spacing w:line="59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166.45</w:t>
      </w:r>
      <w:r>
        <w:rPr>
          <w:rFonts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其中：住房改革支出（款）住房公积金（项）支出</w:t>
      </w:r>
      <w:r>
        <w:rPr>
          <w:rFonts w:hint="eastAsia" w:ascii="仿宋_GB2312" w:hAnsi="仿宋_GB2312" w:eastAsia="仿宋_GB2312" w:cs="仿宋_GB2312"/>
          <w:sz w:val="32"/>
          <w:szCs w:val="32"/>
          <w:lang w:val="en-US" w:eastAsia="zh-CN"/>
        </w:rPr>
        <w:t>166.45</w:t>
      </w:r>
      <w:r>
        <w:rPr>
          <w:rFonts w:hint="eastAsia" w:ascii="仿宋_GB2312" w:hAnsi="仿宋_GB2312" w:eastAsia="仿宋_GB2312" w:cs="仿宋_GB2312"/>
          <w:sz w:val="32"/>
          <w:szCs w:val="32"/>
        </w:rPr>
        <w:t>万元。</w:t>
      </w:r>
    </w:p>
    <w:p w14:paraId="020A126C">
      <w:pPr>
        <w:spacing w:line="240" w:lineRule="auto"/>
        <w:ind w:firstLine="0" w:firstLineChars="0"/>
        <w:jc w:val="center"/>
        <w:rPr>
          <w:rFonts w:hint="eastAsia" w:ascii="仿宋_GB2312" w:hAnsi="仿宋_GB2312" w:eastAsia="仿宋_GB2312" w:cs="仿宋_GB2312"/>
          <w:sz w:val="32"/>
          <w:szCs w:val="32"/>
          <w:lang w:val="en-US" w:eastAsia="zh-CN"/>
        </w:rPr>
      </w:pPr>
      <w:r>
        <w:drawing>
          <wp:inline distT="0" distB="0" distL="114300" distR="114300">
            <wp:extent cx="5347970" cy="4058285"/>
            <wp:effectExtent l="5080" t="4445" r="6350" b="1397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94638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429CCC2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鹿邑县赵村乡中心学校单位2024年一般公共预算基本支出年初预算为2041.28万元，其中：人员经费支出2041.28万元，占100.00%；公用经费支出0.00万元，占0.00%。</w:t>
      </w:r>
    </w:p>
    <w:p w14:paraId="1203566B">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黑体" w:hAnsi="宋体" w:eastAsia="黑体" w:cs="Times New Roman"/>
          <w:snapToGrid/>
          <w:spacing w:val="-2"/>
          <w:kern w:val="2"/>
          <w:sz w:val="32"/>
          <w:szCs w:val="32"/>
          <w:highlight w:val="none"/>
          <w:lang w:val="en-US" w:eastAsia="zh-CN" w:bidi="ar-SA"/>
        </w:rPr>
      </w:pPr>
      <w:r>
        <w:drawing>
          <wp:inline distT="0" distB="0" distL="114300" distR="114300">
            <wp:extent cx="5422265" cy="3843655"/>
            <wp:effectExtent l="5080" t="4445" r="8255" b="1270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9A6B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4747B92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一般公共预算基本支出年初预算为2041.28万元，其中：人员经费支出2041.28万元，占100.00%；主要包括：基本工资987.45万元、津贴补贴193.3万元、绩效工资251.77万元、机关事业单位基本养老保险缴费199.49万元、医疗保险缴费80.08万元、其他社会保障缴费75.90万元、住房公积金166.45万元、退休费46.78万元、生活补助40.07万元。</w:t>
      </w:r>
    </w:p>
    <w:p w14:paraId="6135EBC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0D4932E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鹿邑县赵村乡中心学校2024年单位机构运行经费支出预算0.00万元，主要保障机关机构正常运转及正常履职需要的办公费、水电费、物业费、维修费、差旅费等支出，与2023年相比持平，主要原因：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7189896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64C64BA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赵村乡中心学校2024年单位预算支出2647.97万元，其中：301工资福利支出2381.40万元，主要包括：基本工资1203.82万元、津贴补贴193.30万元、绩效工资251.77万元、基本养老保险缴费379.41万元、医疗保险缴费80.08万元、其他社会保障缴费106.57万元、住房公积金166.45万元。</w:t>
      </w:r>
    </w:p>
    <w:p w14:paraId="188CFD6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E88736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4CA19B7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3FC9D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4B530C3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6FAA97D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21B6C1A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79085" cy="3394075"/>
            <wp:effectExtent l="4445" t="4445" r="13970" b="508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9FF08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7C7A094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鹿邑县赵村乡中心学校2024年无政府性基金预算拨款安排的支出。</w:t>
      </w:r>
    </w:p>
    <w:p w14:paraId="00F2985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BFF41E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鹿邑县赵村乡中心学校2024年无国有资本经营预算拨款安排的支出。</w:t>
      </w:r>
    </w:p>
    <w:p w14:paraId="529A433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7730583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0A2AE69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A3CA4C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2647.97万元，其中：人员经费支出2041.28万元，公用经费支出0.00万元，项目支出总额606.69万元。支出项目共15个，其中：预算支出100万元及100万元以上的重点项目2个，支出总额379.44万元。均按要求编制了绩效目标，从项目产出、项目效益、满意度等方面设置了绩效指标，综合反映项目预期完成的数量、实效、质量，预期达到的社会经济效益、可持续影响以及服务对象满意度等情况。</w:t>
      </w:r>
    </w:p>
    <w:p w14:paraId="7C6BA8B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2408D057">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7F9CD1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6C2E0CC6">
      <w:pPr>
        <w:spacing w:line="592"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（二）专项转移支付项目情况</w:t>
      </w:r>
    </w:p>
    <w:p w14:paraId="7C3D7BF0">
      <w:pPr>
        <w:spacing w:line="592" w:lineRule="exact"/>
        <w:ind w:firstLine="640" w:firstLineChars="200"/>
        <w:rPr>
          <w:rFonts w:ascii="仿宋_GB2312" w:hAnsi="仿宋_GB2312" w:eastAsia="仿宋_GB2312" w:cs="仿宋_GB2312"/>
          <w:b/>
          <w:sz w:val="32"/>
          <w:szCs w:val="32"/>
          <w:highlight w:val="yellow"/>
        </w:rPr>
      </w:pPr>
      <w:r>
        <w:rPr>
          <w:rFonts w:hint="eastAsia" w:ascii="仿宋_GB2312" w:hAnsi="仿宋_GB2312" w:eastAsia="仿宋_GB2312" w:cs="仿宋_GB2312"/>
          <w:sz w:val="32"/>
          <w:szCs w:val="32"/>
        </w:rPr>
        <w:t>鹿邑县赵村乡中心学校202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w:t>
      </w:r>
      <w:r>
        <w:rPr>
          <w:rFonts w:hint="eastAsia" w:ascii="仿宋_GB2312" w:hAnsi="仿宋_GB2312" w:eastAsia="仿宋_GB2312" w:cs="仿宋_GB2312"/>
          <w:color w:val="000000"/>
          <w:sz w:val="32"/>
          <w:szCs w:val="32"/>
        </w:rPr>
        <w:t>负责管理的专项转移支付项目。</w:t>
      </w:r>
    </w:p>
    <w:p w14:paraId="06C08253">
      <w:pPr>
        <w:autoSpaceDE w:val="0"/>
        <w:autoSpaceDN w:val="0"/>
        <w:adjustRightInd w:val="0"/>
        <w:spacing w:line="59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（三）债务收支项目情况</w:t>
      </w:r>
    </w:p>
    <w:p w14:paraId="37F1AE34">
      <w:pPr>
        <w:spacing w:line="592" w:lineRule="exact"/>
        <w:ind w:firstLine="640" w:firstLineChars="200"/>
        <w:rPr>
          <w:rFonts w:ascii="仿宋_GB2312" w:hAnsi="仿宋_GB2312" w:eastAsia="仿宋_GB2312" w:cs="仿宋_GB2312"/>
          <w:b/>
          <w:sz w:val="32"/>
          <w:szCs w:val="32"/>
          <w:highlight w:val="yellow"/>
        </w:rPr>
      </w:pPr>
      <w:r>
        <w:rPr>
          <w:rFonts w:hint="eastAsia" w:ascii="仿宋_GB2312" w:hAnsi="仿宋_GB2312" w:eastAsia="仿宋_GB2312" w:cs="仿宋_GB2312"/>
          <w:sz w:val="32"/>
          <w:szCs w:val="32"/>
        </w:rPr>
        <w:t>鹿邑县赵村乡中心学校</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年没有债务收入支出项目安排。</w:t>
      </w:r>
    </w:p>
    <w:p w14:paraId="39BD2AEB">
      <w:pPr>
        <w:spacing w:line="570" w:lineRule="exact"/>
        <w:ind w:firstLine="640" w:firstLineChars="200"/>
        <w:rPr>
          <w:rFonts w:ascii="仿宋_GB2312" w:hAnsi="仿宋_GB2312" w:eastAsia="仿宋_GB2312" w:cs="仿宋_GB2312"/>
          <w:sz w:val="32"/>
          <w:szCs w:val="32"/>
        </w:rPr>
      </w:pPr>
    </w:p>
    <w:p w14:paraId="69BF7C49">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7F26B923">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2557E50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564206F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2B9F32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573FA96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7583CCC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1FFD7C8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B5CF90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306DBB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13FAECD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585C13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6B4C53F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33AF789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5088CEC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600FA2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kern w:val="0"/>
          <w:sz w:val="21"/>
          <w:szCs w:val="21"/>
          <w:highlight w:val="none"/>
          <w:lang w:val="en-US" w:eastAsia="zh-CN"/>
        </w:rPr>
      </w:pPr>
      <w:bookmarkStart w:id="0" w:name="_GoBack"/>
      <w:bookmarkEnd w:id="0"/>
      <w:r>
        <w:rPr>
          <w:rFonts w:hint="eastAsia" w:ascii="仿宋" w:hAnsi="仿宋" w:eastAsia="仿宋" w:cs="仿宋"/>
          <w:snapToGrid/>
          <w:kern w:val="2"/>
          <w:sz w:val="32"/>
          <w:szCs w:val="32"/>
          <w:highlight w:val="none"/>
          <w:lang w:val="en-US" w:eastAsia="zh-CN" w:bidi="ar-SA"/>
        </w:rPr>
        <w:t>附件：鹿邑县赵村乡中心学校2024年度单位预算表</w:t>
      </w: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AA0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5A15B8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eJgr8CAgAACw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z19T452w1PLz92/nH7/O&#10;P7+yWTKo86GkvHu/xXEXCCa1fYM2fUkH67Opp6upqo9MUnC2mC8WU/Jb0tllQzzFw+8eQ3yvwLIE&#10;Ko7UtWymON6GOKReUtJtDjbaGIqL0rg/AsSZIkWqeKgxodjv+rHwHdQn0oswDELwcqPpzlsR4lYg&#10;dZ7qpLcR72hpDHQVhxFx1gJ++Vc85VND6JSzjiap4o4eDmfmg6NGpaG7ALyA3QW4g30HNJozzjCa&#10;DOkH4STRVTxydvCo922uNikN/u0hkvzsStI2CBol04xkX8d5TkP4eJ+zHt7w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p4mCvwICAAALBAAADgAAAAAAAAABACAAAAAfAQAAZHJzL2Uyb0Rv&#10;Yy54bWxQSwUGAAAAAAYABgBZAQAAkwUAAAAA&#10;">
              <v:fill on="f" focussize="0,0"/>
              <v:stroke on="f"/>
              <v:imagedata o:title=""/>
              <o:lock v:ext="edit" aspectratio="f"/>
              <v:textbox inset="0mm,0mm,0mm,0mm" style="mso-fit-shape-to-text:t;">
                <w:txbxContent>
                  <w:p w14:paraId="65A15B86">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6FC0E"/>
    <w:multiLevelType w:val="singleLevel"/>
    <w:tmpl w:val="8B96FC0E"/>
    <w:lvl w:ilvl="0" w:tentative="0">
      <w:start w:val="1"/>
      <w:numFmt w:val="decimal"/>
      <w:suff w:val="nothing"/>
      <w:lvlText w:val="%1、"/>
      <w:lvlJc w:val="left"/>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39A157F"/>
    <w:rsid w:val="233F38C3"/>
    <w:rsid w:val="694C309E"/>
    <w:rsid w:val="7F31722E"/>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cl\Desktop\&#40575;&#37009;&#39044;&#31639;&#20844;&#24320;&#22270;&#34920;&#27169;&#26495;(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jcl\Desktop\&#40575;&#37009;&#39044;&#31639;&#20844;&#24320;&#22270;&#34920;&#27169;&#26495;(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6158;&#21551;&#32418;\Desktop\&#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'[鹿邑预算公开图表模板(1).xlsx]Sheet1'!$D$7:$E$7</c:f>
              <c:strCache>
                <c:ptCount val="2"/>
                <c:pt idx="0">
                  <c:v>2024年</c:v>
                </c:pt>
                <c:pt idx="1">
                  <c:v>2023年</c:v>
                </c:pt>
              </c:strCache>
            </c:strRef>
          </c:cat>
          <c:val>
            <c:numRef>
              <c:f>'[鹿邑预算公开图表模板(1).xlsx]Sheet1'!$D$8:$E$8</c:f>
              <c:numCache>
                <c:formatCode>0.00_ </c:formatCode>
                <c:ptCount val="2"/>
                <c:pt idx="0">
                  <c:v>2647.97</c:v>
                </c:pt>
                <c:pt idx="1" c:formatCode="#,##0.00">
                  <c:v>2727.93</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0571586119514154"/>
                  <c:y val="0.021641714044479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860966974942292"/>
                  <c:y val="-0.0387505898764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662.13</c:v>
                </c:pt>
                <c:pt idx="1">
                  <c:v>2086.44</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2041.28</c:v>
                </c:pt>
                <c:pt idx="1">
                  <c:v>606.69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'[鹿邑预算公开图表模板(1).xlsx]Sheet1'!$D$67:$E$67</c:f>
              <c:strCache>
                <c:ptCount val="2"/>
                <c:pt idx="0">
                  <c:v>2024年</c:v>
                </c:pt>
                <c:pt idx="1">
                  <c:v>2023年</c:v>
                </c:pt>
              </c:strCache>
            </c:strRef>
          </c:cat>
          <c:val>
            <c:numRef>
              <c:f>'[鹿邑预算公开图表模板(1).xlsx]Sheet1'!$D$68:$E$68</c:f>
              <c:numCache>
                <c:formatCode>General</c:formatCode>
                <c:ptCount val="2"/>
                <c:pt idx="0">
                  <c:v>2647.97</c:v>
                </c:pt>
                <c:pt idx="1" c:formatCode="0.00_ ">
                  <c:v>2727.93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044924735945657"/>
                  <c:y val="0.00520869997992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5941131622695"/>
                  <c:y val="0.33476976057584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77139320106526"/>
                  <c:y val="-0.023500505359297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59659197993959"/>
                  <c:y val="0.10889134267570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dLbl>
              <c:idx val="4"/>
              <c:layout>
                <c:manualLayout>
                  <c:x val="-0.177923026793027"/>
                  <c:y val="-0.261250730566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1524.46</c:v>
                </c:pt>
                <c:pt idx="1">
                  <c:v>250.78</c:v>
                </c:pt>
                <c:pt idx="2">
                  <c:v>144.76</c:v>
                </c:pt>
                <c:pt idx="3">
                  <c:v>166.45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45861184971634"/>
          <c:y val="0.9307531537186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2041.28</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f638-49a5-483b-a5de-4bd3bbecce1a}">
  <ds:schemaRefs/>
</ds:datastoreItem>
</file>

<file path=customXml/itemProps3.xml><?xml version="1.0" encoding="utf-8"?>
<ds:datastoreItem xmlns:ds="http://schemas.openxmlformats.org/officeDocument/2006/customXml" ds:itemID="{ec0f9ed7-03b5-46c7-a494-3af292ffdcac}">
  <ds:schemaRefs/>
</ds:datastoreItem>
</file>

<file path=customXml/itemProps4.xml><?xml version="1.0" encoding="utf-8"?>
<ds:datastoreItem xmlns:ds="http://schemas.openxmlformats.org/officeDocument/2006/customXml" ds:itemID="{34b1a5be-6bdb-4008-8b0a-aadbcb8ef3e0}">
  <ds:schemaRefs/>
</ds:datastoreItem>
</file>

<file path=docProps/app.xml><?xml version="1.0" encoding="utf-8"?>
<Properties xmlns="http://schemas.openxmlformats.org/officeDocument/2006/extended-properties" xmlns:vt="http://schemas.openxmlformats.org/officeDocument/2006/docPropsVTypes">
  <Pages>15</Pages>
  <Words>4098</Words>
  <Characters>4672</Characters>
  <TotalTime>0</TotalTime>
  <ScaleCrop>false</ScaleCrop>
  <LinksUpToDate>false</LinksUpToDate>
  <CharactersWithSpaces>4685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