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2B9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677FC8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700270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27631E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33324A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FB666D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9130E5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6CAA8B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C71080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鹿邑县农业综合行政执法大队</w:t>
      </w:r>
    </w:p>
    <w:p w14:paraId="7EE734F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说明</w:t>
      </w:r>
    </w:p>
    <w:p w14:paraId="544E3D5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C2BF4A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BB69CE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3D01F4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0FC0BA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3DA36B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A1E786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7C96BF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13603E0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03642796">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鹿邑县农业综合行政执法大队</w:t>
      </w:r>
      <w:r>
        <w:rPr>
          <w:rFonts w:ascii="黑体" w:hAnsi="黑体" w:eastAsia="黑体" w:cs="黑体"/>
          <w:spacing w:val="11"/>
          <w:sz w:val="31"/>
          <w:szCs w:val="31"/>
          <w:highlight w:val="none"/>
        </w:rPr>
        <w:t>概况</w:t>
      </w:r>
    </w:p>
    <w:p w14:paraId="1A9FD0C3">
      <w:pPr>
        <w:keepNext w:val="0"/>
        <w:keepLines w:val="0"/>
        <w:pageBreakBefore w:val="0"/>
        <w:widowControl/>
        <w:kinsoku w:val="0"/>
        <w:wordWrap/>
        <w:overflowPunct/>
        <w:topLinePunct w:val="0"/>
        <w:autoSpaceDE w:val="0"/>
        <w:autoSpaceDN w:val="0"/>
        <w:bidi w:val="0"/>
        <w:adjustRightInd w:val="0"/>
        <w:snapToGrid w:val="0"/>
        <w:spacing w:before="24" w:line="56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1733B10D">
      <w:pPr>
        <w:keepNext w:val="0"/>
        <w:keepLines w:val="0"/>
        <w:pageBreakBefore w:val="0"/>
        <w:widowControl/>
        <w:kinsoku w:val="0"/>
        <w:wordWrap/>
        <w:overflowPunct/>
        <w:topLinePunct w:val="0"/>
        <w:autoSpaceDE w:val="0"/>
        <w:autoSpaceDN w:val="0"/>
        <w:bidi w:val="0"/>
        <w:adjustRightInd w:val="0"/>
        <w:snapToGrid w:val="0"/>
        <w:spacing w:line="56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2C380906">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鹿邑县农业综合行政执法大队</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24303B25">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754F4F81">
      <w:pPr>
        <w:keepNext w:val="0"/>
        <w:keepLines w:val="0"/>
        <w:pageBreakBefore w:val="0"/>
        <w:widowControl/>
        <w:kinsoku w:val="0"/>
        <w:wordWrap/>
        <w:overflowPunct/>
        <w:topLinePunct w:val="0"/>
        <w:autoSpaceDE w:val="0"/>
        <w:autoSpaceDN w:val="0"/>
        <w:bidi w:val="0"/>
        <w:adjustRightInd w:val="0"/>
        <w:snapToGrid w:val="0"/>
        <w:spacing w:before="9" w:line="56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鹿邑县农业综合行政执法大队</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02C45256">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7102B322">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0BDD598C">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03D8F1EE">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74A2E2B5">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3292542A">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547F7199">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7F6343D6">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0A686F99">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0C569827">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0BAF60AC">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592C73B4">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B65EBBE">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013D37C7">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40764537">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23FB7B76">
      <w:pPr>
        <w:keepNext w:val="0"/>
        <w:keepLines w:val="0"/>
        <w:pageBreakBefore w:val="0"/>
        <w:widowControl/>
        <w:kinsoku w:val="0"/>
        <w:wordWrap/>
        <w:overflowPunct/>
        <w:topLinePunct w:val="0"/>
        <w:autoSpaceDE w:val="0"/>
        <w:autoSpaceDN w:val="0"/>
        <w:bidi w:val="0"/>
        <w:adjustRightInd w:val="0"/>
        <w:snapToGrid w:val="0"/>
        <w:spacing w:before="2" w:line="56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7D488B18">
      <w:pPr>
        <w:rPr>
          <w:rFonts w:hint="eastAsia" w:ascii="仿宋" w:hAnsi="仿宋" w:eastAsia="仿宋" w:cs="仿宋"/>
          <w:spacing w:val="8"/>
          <w:sz w:val="31"/>
          <w:szCs w:val="31"/>
          <w:highlight w:val="none"/>
          <w:lang w:val="en-US" w:eastAsia="zh-CN"/>
        </w:rPr>
      </w:pPr>
      <w:r>
        <w:br w:type="page"/>
      </w:r>
    </w:p>
    <w:p w14:paraId="7297F0B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鹿邑县农业综合行政执法大队概况</w:t>
      </w:r>
    </w:p>
    <w:p w14:paraId="06F6F8D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5E278D5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08F8F86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鹿邑县农业综合行政执法大队是鹿邑县农业农村局所属事业单位，规格为股级，经费实行财政全额供给。共有全额事业编制73名，临时编制22名。其中大队长1名，副大队长3名。</w:t>
      </w:r>
    </w:p>
    <w:p w14:paraId="2F0C5CBF">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427CD21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宣传贯彻农业、畜牧、渔业、农机等涉农法律、法规和规章，依法行使法律法规赋予的农业行政执法职能;受理涉嫌违反农业、畜牧、渔业、农机等涉农法律、法规和规章行为的投诉、举报;承担本行政区域内农业投入品、渔事等方面的纠纷调解工作。依法组织开展全县农产品(含水产品、畜产品)质量安全、农作物种子生产经营、畜禽屠宰、农业机械安全监理、生鲜乳、渔业、农村能源以及农药、肥料、兽医兽药、饲料及饲料添加剂、植物检疫、农业转基因生物安全、动物卫生防疫检疫等方面的行政执法监管工作，依法查处各类违法案件。做好农业机械新项目的研究及新技术、新工艺、新机型的引进、试验、示范开发推广工作。</w:t>
      </w:r>
    </w:p>
    <w:p w14:paraId="760385E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(2)拟订农业综合行政执法制度规范，严格落实行政执法“三项制度”。</w:t>
      </w:r>
    </w:p>
    <w:p w14:paraId="5A22627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(3)负责本县定点屠宰的监督执法，组织实施定点屠宰企业违禁物质、药物残留、肉品品质和疫病防控等工作的监督执法，组织实施非法屠宰的监督执法;负责本县生鲜乳生产、收购、运输监督执法工作。</w:t>
      </w:r>
    </w:p>
    <w:p w14:paraId="5C0717F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对动物防疫检疫、动物诊疗、兽医从业、畜牧种畜禽方面的行政执法工作;负责本县动物饲养、屠宰、经营、隔离、运输以及动物产品生产、经营、加工、贮藏、运输等行为的监督执法;负责动物展览、演出和比赛等活动和非食用的动物和动物产品经营活动的防疫监督执法。</w:t>
      </w:r>
    </w:p>
    <w:p w14:paraId="528A0F5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(5)负责对兽药、饲料和饲料添加剂、农作物种子(含食用菌菌种、草种)、农药、相关肥料的生产经营等活动和质量安全进行执法。</w:t>
      </w:r>
    </w:p>
    <w:p w14:paraId="100427B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(6)负责对食用农产品从种植养殖环节到进入批发、零售市场或生产加工企业前的质量安全进行执法，负责对生鲜乳生产、收购环节进行执法。</w:t>
      </w:r>
    </w:p>
    <w:p w14:paraId="602E226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(7)负责对农业转基因生物安全、动物病原微生物实验室生物安全方面行为进行执法。</w:t>
      </w:r>
    </w:p>
    <w:p w14:paraId="1EC9A33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对水产养殖、水产苗种、捕捞和除渔船检验之外的渔船登记使用等方面行为进行执法;负责查处违法捕捉、驯养、出售、收购、运输国家保护水生野生动物等行为;负责对科学研究、人工繁育、公众展示展演、利用重点保护水生野生动物及其制品活动进行监督检查。负责本县渔业生产监督管理方面的行政执法工作;负责水产养殖过程中兽药使用的监督执法;负责依法调查处理辖区内渔业水域污染事故;负责渔业资源增殖、保护工作的监督执法。</w:t>
      </w:r>
    </w:p>
    <w:p w14:paraId="7F19185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(9)负责对农机登记、农机操作使用、农机驾驶培训及农机维修等方面的行政执法工作;负责本县农业机械安全普法教育，开展农业机械作业安全检查;负责农业机械事故的处理、统计和报告工作。</w:t>
      </w:r>
    </w:p>
    <w:p w14:paraId="26EAE55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(10)负责对农业植物新品种保护、农业野生植物保护、农业植物保护、农业植物检疫方面行为进行执法。</w:t>
      </w:r>
    </w:p>
    <w:p w14:paraId="5E0FC09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(11)负责农村宅基地的改革和管理。</w:t>
      </w:r>
    </w:p>
    <w:p w14:paraId="644D723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(12)负责对法律、法规和规章授权县级农业农村部门实施的其他行政处罚、行政强制涉及事项进行执法。</w:t>
      </w:r>
    </w:p>
    <w:p w14:paraId="3CF55DB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(13)牵头负责全县农资打假工作，组织开展“双随机一公开”执法检查。对各乡镇、办事处农业综合执法工作进行指导、协调、监督和检查。</w:t>
      </w:r>
    </w:p>
    <w:p w14:paraId="58F9A3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(14)负责本县染疫动物及动物产品无害化处理的监督，负责病死及死因不明动物无害化处理的监督执法。</w:t>
      </w:r>
    </w:p>
    <w:p w14:paraId="0868C53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(15)承办上级交办、督办及有关部门移交的各类案件的处置工作，承担行政执法与刑事司法衔接工作。</w:t>
      </w:r>
    </w:p>
    <w:p w14:paraId="38095E3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(16)完成县农业农村局交办的其他工作。</w:t>
      </w:r>
    </w:p>
    <w:p w14:paraId="6E7988C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3865F83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本预算构成为鹿邑县农业综合行政执法大队本级预算。</w:t>
      </w:r>
    </w:p>
    <w:p w14:paraId="6E82578D">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54C4E5B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鹿邑县农业综合行政执法大队2024年单位预算情况说明</w:t>
      </w:r>
    </w:p>
    <w:p w14:paraId="3ED2FE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306B5D0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鹿邑县农业综合行政执法大队单位2024年收入总计435.28万元，支出总计435.28万元，与2023年预算相比，收、支总计减少17.36万元，下降3.84%，主要原因是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379591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3E8F9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486B84F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鹿邑县农业综合行政执法大队单位2024年收入合计435.28万元，其中：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435.28</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4073157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079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5CBF3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42ABDE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鹿邑县农业综合行政执法大队单位2024年支出合计435.28万元，其中：基本支出188.51万元，占43.31%；项目支出246.77万元，占56.69%。</w:t>
      </w:r>
    </w:p>
    <w:p w14:paraId="5803849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82670"/>
            <wp:effectExtent l="4445" t="4445" r="15875"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EC76D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0276F19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2535417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鹿邑县农业综合行政执法大队单位2024年一般公共预算收支预算435.28万元，政府性基金收支预算0.00万元，国有资本经营预算0.00万元。与2023年相比，一般公共预算收支预算减少17.36万元，下降3.84%，主要原因是：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F15087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2E5C5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16F47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2DA4F30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538712D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CF37DC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鹿邑县农业综合行政执法大队单位2024年一般公共预算支出年初预算为435.28万元。其中</w:t>
      </w:r>
      <w:r>
        <w:rPr>
          <w:rFonts w:hint="eastAsia" w:ascii="仿宋" w:hAnsi="仿宋" w:eastAsia="仿宋" w:cs="仿宋"/>
          <w:sz w:val="32"/>
          <w:szCs w:val="32"/>
          <w:highlight w:val="none"/>
          <w:lang w:val="en-US" w:eastAsia="zh-CN"/>
        </w:rPr>
        <w:t>基本支出188.51万元，占43.31%；项目支出246.77万元，占56.69%</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5E0878F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1、社会保障和就业支出66.23万元，占15.22%。其中：行政事业单位养老支出（款）机关事业单位基本养老保险缴费支出（项）66.23万元；</w:t>
      </w:r>
    </w:p>
    <w:p w14:paraId="416570E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2、卫生健康支出33.81万元，占7.77%。其中：行政事业单位医疗（款）事业单位医疗（项）33.81万元；</w:t>
      </w:r>
    </w:p>
    <w:p w14:paraId="569E01A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农林水支出292.04万元，占67.09%。其中：农业农村（款）行政运行（项）179.35万元；农业农村（款）农产品质量安全（项）93.69万元；农业农村（款）执法监管（项）15.00万元；农业农村（款）统计监测与信息服务（项）4.00万元；</w:t>
      </w:r>
    </w:p>
    <w:p w14:paraId="6E7CC99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4、住房保障支出43.20万元，占9.92%。其中：住房改革支出（款）住房公积金（项）43.20万元</w:t>
      </w:r>
      <w:r>
        <w:rPr>
          <w:rFonts w:hint="eastAsia" w:ascii="仿宋" w:hAnsi="仿宋" w:eastAsia="仿宋" w:cs="仿宋"/>
          <w:snapToGrid/>
          <w:color w:val="000000"/>
          <w:kern w:val="2"/>
          <w:sz w:val="32"/>
          <w:szCs w:val="32"/>
          <w:highlight w:val="none"/>
          <w:lang w:val="en-US" w:eastAsia="zh-CN" w:bidi="ar-SA"/>
        </w:rPr>
        <w:t>。</w:t>
      </w:r>
    </w:p>
    <w:p w14:paraId="2EC7D57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color w:val="000000"/>
          <w:kern w:val="2"/>
          <w:sz w:val="32"/>
          <w:szCs w:val="32"/>
          <w:highlight w:val="none"/>
          <w:lang w:val="en-US" w:eastAsia="zh-CN" w:bidi="ar-SA"/>
        </w:rPr>
      </w:pPr>
      <w:r>
        <w:drawing>
          <wp:inline distT="0" distB="0" distL="114300" distR="114300">
            <wp:extent cx="4876800" cy="37045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3A479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7B75C74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鹿邑县农业综合行政执法大队单位2024年一般公共预算基本支出年初预算为188.51万元，其中：人员经费支出183.51万元，占97.35%；公用经费支出5.00万元，占2.65%。</w:t>
      </w:r>
    </w:p>
    <w:p w14:paraId="7BF1C30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3154045"/>
            <wp:effectExtent l="4445" t="4445" r="19685" b="1143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0" w:name="_GoBack"/>
      <w:bookmarkEnd w:id="0"/>
    </w:p>
    <w:p w14:paraId="678C8B3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10A6C53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一般公共预算基本支出年初预算为188.51万元，其中：人员经费支出183.51万元，占97.35%；主要包括：基本工资17.56万元、津贴补贴10.93万元、奖金6.07万元、绩效工资5.71万元、机关事业单位基本养老保险缴费66.23万元、职工基本医疗保险缴费33.81万元、住房公积金43.20万元。公用经费支出5.00万元，占2.65%。主要包括：其他交通费用5.00万元。</w:t>
      </w:r>
    </w:p>
    <w:p w14:paraId="5328FE3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0165FCE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农业综合行政执法大队2024年单位机构运行经费支出预算5.00万元，主要保障机关机构正常运转及正常履职需要的办公费、水电费、物业费、维修费、差旅费等支出，与2023年相比减少0.60万元，下降10.71%，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195AB92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330E6E5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农业综合行政执法大队2024年单位预算支出435.28万元，其中：301工资福利支出183.51万元，主要包括：基本工资17.56万元、津贴补贴10.93万元、奖金6.07万元、绩效工资5.71万元、机关事业单位基本养老保险缴费66.23万元、职工基本医疗保险缴费33.81万元、住房公积金43.20万元；302商品和服务支出251.77万元，主要包括：办公费246.77万元、其他交通费用5.00万元。</w:t>
      </w:r>
    </w:p>
    <w:p w14:paraId="6DC7EA9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50CAC7A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A7DF62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338F4BE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658CF2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80B490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BA82BF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7E499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3730913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鹿邑县农业综合行政执法大队2024年无政府性基金预算拨款安排的支出。</w:t>
      </w:r>
    </w:p>
    <w:p w14:paraId="4BBC52A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6EC38E8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鹿邑县农业综合行政执法大队2024年无国有资本经营预算拨款安排的支出。</w:t>
      </w:r>
    </w:p>
    <w:p w14:paraId="19CF0F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000C03B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421F780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7A3CD78F">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435.28万元，其中：人员经费支出183.51万元，公用经费支出5.00万元，项目支出总额246.77万元。支出项目共8个，其中：预算支出100万元及100万元以上的重点项目1个，支出总额106.90万元。均按要求编制了绩效目标，从项目产出、项目效益、满意度等方面设置了绩效指标，综合反映项目预期完成的数量、实效、质量，预期达到的社会经济效益、可持续影响以及服务对象满意度等情况。</w:t>
      </w:r>
    </w:p>
    <w:p w14:paraId="487D95E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7DD23C1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68FAB42F">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38DB0124">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5D923B68">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鹿邑县农业综合行政执法大队单位</w:t>
      </w:r>
      <w:r>
        <w:rPr>
          <w:rFonts w:hint="eastAsia" w:ascii="仿宋" w:hAnsi="仿宋" w:eastAsia="仿宋" w:cs="仿宋"/>
          <w:snapToGrid/>
          <w:kern w:val="2"/>
          <w:sz w:val="32"/>
          <w:szCs w:val="32"/>
          <w:highlight w:val="yellow"/>
          <w:lang w:val="en-US" w:eastAsia="zh-CN" w:bidi="ar-SA"/>
        </w:rPr>
        <w:t>负责管理的专项转移支付项目共有0项，我单位无负责管理的专项转移支付项目资金</w:t>
      </w:r>
      <w:r>
        <w:rPr>
          <w:rFonts w:hint="eastAsia" w:ascii="仿宋" w:hAnsi="仿宋" w:eastAsia="仿宋" w:cs="仿宋"/>
          <w:snapToGrid/>
          <w:kern w:val="2"/>
          <w:sz w:val="32"/>
          <w:szCs w:val="32"/>
          <w:highlight w:val="none"/>
          <w:lang w:val="en-US" w:eastAsia="zh-CN" w:bidi="ar-SA"/>
        </w:rPr>
        <w:t>。我单位将按照《预算法》等有关规定,积极做好项目分配前期准备工作，在规定的时间内向财政部门提出资金分配意见，根据有关要求做好项目申报公开等相关工作。</w:t>
      </w:r>
    </w:p>
    <w:p w14:paraId="1CCE1E21">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0E478E9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鹿邑县农业综合行政执法大队2024年没有债务收入支出项目安排。</w:t>
      </w:r>
    </w:p>
    <w:p w14:paraId="1CB0A128">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0D2E63F3">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65D6989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55B172E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46D731E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638175C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042B7ED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411771E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8E474C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0123A9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5EEAB0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46D54A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5377DB2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2314083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05CD4A1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附件：鹿邑县农业综合行政执法大队2024年度单位预算表</w:t>
      </w:r>
    </w:p>
    <w:p w14:paraId="22CFA064">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293C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5D3D7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kLjYQE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Ks3rzlzwlLPH759ffj+&#10;8+HHFzZLDnU+lJR457c47gLBJLdv0KYvCWF9dvV0cVX1kUkKzhbzxWJKhks6O2+Ip3j83WOI7xVY&#10;lkDFkdqW3RTHmxCH1HNKus3BRhtDcVEa90eAOFOkSBUPNSYU+10/Fr6D+kSCEYZJCF5uNN15I0Lc&#10;CqTWU530OOItLY2BruIwIs5awM//iqd86gidctbRKFXc0cvhzHxw1Kk0dWeAZ7A7A3ew74Bmc8YZ&#10;RpMh/SCcJLqKR84OHvW+zdUmpcG/P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JC42EBAIAAAwEAAAOAAAAAAAAAAEAIAAAAB8BAABkcnMvZTJv&#10;RG9jLnhtbFBLBQYAAAAABgAGAFkBAACVBQAAAAA=&#10;">
              <v:fill on="f" focussize="0,0"/>
              <v:stroke on="f"/>
              <v:imagedata o:title=""/>
              <o:lock v:ext="edit" aspectratio="f"/>
              <v:textbox inset="0mm,0mm,0mm,0mm" style="mso-fit-shape-to-text:t;">
                <w:txbxContent>
                  <w:p w14:paraId="35D3D7E3">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B253770"/>
    <w:rsid w:val="2D4368C9"/>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rgbClr val="4874CB"/>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435.28</c:v>
                </c:pt>
                <c:pt idx="1" c:formatCode="#,##0.00">
                  <c:v>452.64</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ysClr val="window" lastClr="FFFFFF">
                  <a:lumMod val="90200"/>
                </a:sys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rgbClr val="4874CB"/>
              </a:solidFill>
              <a:ln>
                <a:solidFill>
                  <a:sysClr val="window" lastClr="FFFFFF"/>
                </a:solidFill>
              </a:ln>
              <a:effectLst/>
            </c:spPr>
          </c:dPt>
          <c:dPt>
            <c:idx val="1"/>
            <c:bubble3D val="0"/>
            <c:spPr>
              <a:solidFill>
                <a:srgbClr val="EE822F"/>
              </a:solidFill>
              <a:ln>
                <a:solidFill>
                  <a:sysClr val="window" lastClr="FFFFFF"/>
                </a:solidFill>
              </a:ln>
              <a:effectLst/>
            </c:spPr>
          </c:dPt>
          <c:dPt>
            <c:idx val="2"/>
            <c:bubble3D val="0"/>
            <c:spPr>
              <a:solidFill>
                <a:srgbClr val="F2BA02"/>
              </a:solidFill>
              <a:ln>
                <a:solidFill>
                  <a:sysClr val="window" lastClr="FFFFFF"/>
                </a:solidFill>
              </a:ln>
              <a:effectLst/>
            </c:spPr>
          </c:dPt>
          <c:dPt>
            <c:idx val="3"/>
            <c:bubble3D val="0"/>
            <c:spPr>
              <a:solidFill>
                <a:srgbClr val="75BD42"/>
              </a:solidFill>
              <a:ln>
                <a:solidFill>
                  <a:sysClr val="window" lastClr="FFFFFF"/>
                </a:solidFill>
              </a:ln>
              <a:effectLst/>
            </c:spPr>
          </c:dPt>
          <c:dLbls>
            <c:dLbl>
              <c:idx val="0"/>
              <c:layout>
                <c:manualLayout>
                  <c:x val="-0.376325867587505"/>
                  <c:y val="0.094730609828300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58666348495753"/>
                  <c:y val="-0.087830399608652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82321490192675"/>
                  <c:y val="0.521018354055654"/>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256276368935525"/>
                    </c:manualLayout>
                  </c15:layout>
                </c:ext>
              </c:extLst>
            </c:dLbl>
            <c:dLbl>
              <c:idx val="3"/>
              <c:layout>
                <c:manualLayout>
                  <c:x val="0.344730680027491"/>
                  <c:y val="0.19803248560625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0</c:v>
                </c:pt>
                <c:pt idx="1">
                  <c:v>435.28</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rgbClr val="4874CB"/>
              </a:solidFill>
              <a:ln>
                <a:solidFill>
                  <a:sysClr val="window" lastClr="FFFFFF"/>
                </a:solidFill>
              </a:ln>
              <a:effectLst/>
            </c:spPr>
          </c:dPt>
          <c:dPt>
            <c:idx val="1"/>
            <c:bubble3D val="0"/>
            <c:spPr>
              <a:solidFill>
                <a:srgbClr val="EE822F"/>
              </a:solidFill>
              <a:ln>
                <a:solidFill>
                  <a:sysClr val="window" lastClr="FFFFFF"/>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188.51</c:v>
                </c:pt>
                <c:pt idx="1" c:formatCode="General">
                  <c:v>246.77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435.28</c:v>
                </c:pt>
                <c:pt idx="1" c:formatCode="#,##0.00">
                  <c:v>452.64</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rgbClr val="4874CB"/>
              </a:solidFill>
              <a:ln>
                <a:solidFill>
                  <a:sysClr val="window" lastClr="FFFFFF"/>
                </a:solidFill>
              </a:ln>
              <a:effectLst/>
            </c:spPr>
          </c:dPt>
          <c:dPt>
            <c:idx val="1"/>
            <c:bubble3D val="0"/>
            <c:spPr>
              <a:solidFill>
                <a:srgbClr val="EE822F"/>
              </a:solidFill>
              <a:ln>
                <a:solidFill>
                  <a:sysClr val="window" lastClr="FFFFFF"/>
                </a:solidFill>
              </a:ln>
              <a:effectLst/>
            </c:spPr>
          </c:dPt>
          <c:dPt>
            <c:idx val="2"/>
            <c:bubble3D val="0"/>
            <c:spPr>
              <a:solidFill>
                <a:srgbClr val="F2BA02"/>
              </a:solidFill>
              <a:ln>
                <a:solidFill>
                  <a:sysClr val="window" lastClr="FFFFFF"/>
                </a:solidFill>
              </a:ln>
              <a:effectLst/>
            </c:spPr>
          </c:dPt>
          <c:dPt>
            <c:idx val="3"/>
            <c:bubble3D val="0"/>
            <c:spPr>
              <a:solidFill>
                <a:srgbClr val="75BD42"/>
              </a:solidFill>
              <a:ln>
                <a:solidFill>
                  <a:sysClr val="window" lastClr="FFFFFF"/>
                </a:solidFill>
              </a:ln>
              <a:effectLst/>
            </c:spPr>
          </c:dPt>
          <c:dPt>
            <c:idx val="4"/>
            <c:bubble3D val="0"/>
            <c:spPr>
              <a:solidFill>
                <a:srgbClr val="30C0B4"/>
              </a:solidFill>
              <a:ln>
                <a:solidFill>
                  <a:sysClr val="window" lastClr="FFFFFF"/>
                </a:solidFill>
              </a:ln>
              <a:effectLst/>
            </c:spPr>
          </c:dPt>
          <c:dPt>
            <c:idx val="5"/>
            <c:bubble3D val="0"/>
            <c:spPr>
              <a:solidFill>
                <a:srgbClr val="E54C5E"/>
              </a:solidFill>
              <a:ln>
                <a:solidFill>
                  <a:sysClr val="window" lastClr="FFFFFF"/>
                </a:solidFill>
              </a:ln>
              <a:effectLst/>
            </c:spPr>
          </c:dPt>
          <c:dLbls>
            <c:dLbl>
              <c:idx val="0"/>
              <c:layout>
                <c:manualLayout>
                  <c:x val="0.154035505024457"/>
                  <c:y val="0.054401440946034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
                  <c:y val="0.10516351118760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528691478554675"/>
                  <c:y val="-0.134767641996557"/>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200229602101924"/>
                    </c:manualLayout>
                  </c15:layout>
                </c:ext>
              </c:extLst>
            </c:dLbl>
            <c:dLbl>
              <c:idx val="3"/>
              <c:layout>
                <c:manualLayout>
                  <c:x val="-0.3179892354612"/>
                  <c:y val="0.036122626294544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[鹿邑预算公开图表模板.xlsx]Sheet1!$D$119:$D$124</c:f>
              <c:strCache>
                <c:ptCount val="6"/>
                <c:pt idx="0">
                  <c:v>社会保障和就业支出</c:v>
                </c:pt>
                <c:pt idx="1">
                  <c:v>卫生健康支出</c:v>
                </c:pt>
                <c:pt idx="2">
                  <c:v>农林水支出</c:v>
                </c:pt>
                <c:pt idx="3">
                  <c:v>住房保障支出</c:v>
                </c:pt>
              </c:strCache>
            </c:strRef>
          </c:cat>
          <c:val>
            <c:numRef>
              <c:f>[鹿邑预算公开图表模板.xlsx]Sheet1!$E$119:$E$124</c:f>
              <c:numCache>
                <c:formatCode>#.00"万""元"</c:formatCode>
                <c:ptCount val="6"/>
                <c:pt idx="0">
                  <c:v>66.23</c:v>
                </c:pt>
                <c:pt idx="1">
                  <c:v>33.81</c:v>
                </c:pt>
                <c:pt idx="2">
                  <c:v>292.04</c:v>
                </c:pt>
                <c:pt idx="3">
                  <c:v>43.2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707656612529002"/>
          <c:y val="0.88227194492254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ysClr val="windowText" lastClr="000000">
                    <a:lumMod val="75000"/>
                    <a:lumOff val="25000"/>
                  </a:sys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rgbClr val="4874CB"/>
              </a:solidFill>
              <a:ln>
                <a:solidFill>
                  <a:sysClr val="window" lastClr="FFFFFF"/>
                </a:solidFill>
              </a:ln>
              <a:effectLst/>
            </c:spPr>
          </c:dPt>
          <c:dPt>
            <c:idx val="1"/>
            <c:bubble3D val="0"/>
            <c:spPr>
              <a:solidFill>
                <a:srgbClr val="EE822F"/>
              </a:solidFill>
              <a:ln>
                <a:solidFill>
                  <a:sysClr val="window" lastClr="FFFFFF"/>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[鹿邑预算公开图表模板.xlsx]Sheet1!$D$144:$D$145</c:f>
              <c:strCache>
                <c:ptCount val="2"/>
                <c:pt idx="0">
                  <c:v>人员经费</c:v>
                </c:pt>
                <c:pt idx="1">
                  <c:v>公用经费</c:v>
                </c:pt>
              </c:strCache>
            </c:strRef>
          </c:cat>
          <c:val>
            <c:numRef>
              <c:f>[鹿邑预算公开图表模板.xlsx]Sheet1!$E$144:$E$145</c:f>
              <c:numCache>
                <c:formatCode>#.00"万""元"</c:formatCode>
                <c:ptCount val="2"/>
                <c:pt idx="0">
                  <c:v>183.51</c:v>
                </c:pt>
                <c:pt idx="1" c:formatCode="#0.00&quot;万&quot;&quot;元&quot;">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[鹿邑预算公开图表模板.xlsx]Sheet1!$D$190:$E$190</c:f>
              <c:strCache>
                <c:ptCount val="2"/>
                <c:pt idx="0">
                  <c:v>2024年</c:v>
                </c:pt>
                <c:pt idx="1">
                  <c:v>2023年</c:v>
                </c:pt>
              </c:strCache>
            </c:strRef>
          </c:cat>
          <c:val>
            <c:numRef>
              <c:f>[鹿邑预算公开图表模板.xlsx]Sheet1!$D$191:$E$191</c:f>
              <c:numCache>
                <c:formatCode>#,##0.00</c:formatCode>
                <c:ptCount val="2"/>
                <c:pt idx="0">
                  <c:v>0</c:v>
                </c:pt>
                <c:pt idx="1" c:formatCode="0.00_ ">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solidFill>
          <a:sysClr val="window" lastClr="FFFFFF"/>
        </a:solidFill>
      </a:ln>
      <a:effectLst/>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8539c-f0fd-4819-9993-7dc66bf001b3}">
  <ds:schemaRefs/>
</ds:datastoreItem>
</file>

<file path=customXml/itemProps3.xml><?xml version="1.0" encoding="utf-8"?>
<ds:datastoreItem xmlns:ds="http://schemas.openxmlformats.org/officeDocument/2006/customXml" ds:itemID="{f34c5e22-a5d2-4f26-bc99-ddcf32a2b353}">
  <ds:schemaRefs/>
</ds:datastoreItem>
</file>

<file path=customXml/itemProps4.xml><?xml version="1.0" encoding="utf-8"?>
<ds:datastoreItem xmlns:ds="http://schemas.openxmlformats.org/officeDocument/2006/customXml" ds:itemID="{be3785b4-49c9-41a6-a700-f3d64882d093}">
  <ds:schemaRefs/>
</ds:datastoreItem>
</file>

<file path=docProps/app.xml><?xml version="1.0" encoding="utf-8"?>
<Properties xmlns="http://schemas.openxmlformats.org/officeDocument/2006/extended-properties" xmlns:vt="http://schemas.openxmlformats.org/officeDocument/2006/docPropsVTypes">
  <Pages>16</Pages>
  <Words>4951</Words>
  <Characters>5599</Characters>
  <TotalTime>5</TotalTime>
  <ScaleCrop>false</ScaleCrop>
  <LinksUpToDate>false</LinksUpToDate>
  <CharactersWithSpaces>5609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2024-10-13T08:16:40Z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2052-12.1.0.18276</vt:lpwstr>
  </property>
  <property fmtid="{D5CDD505-2E9C-101B-9397-08002B2CF9AE}" pid="5" name="ICV">
    <vt:lpwstr>354CEED8B0DF4302891E75E58ADD021A_13</vt:lpwstr>
  </property>
</Properties>
</file>