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992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4EC029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32D71C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DB6DFB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B9D19B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C494DE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EE6E67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4A2E74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5B0F85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鹿邑县发展和改革委员会</w:t>
      </w:r>
    </w:p>
    <w:p w14:paraId="2F323AA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0732C4B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0BA7BD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85933B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1F52EA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A5AF8E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ED53BC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47B82C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3CF975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2F46184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B8375F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77BE499B">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鹿邑县发展和改革委员会</w:t>
      </w:r>
      <w:r>
        <w:rPr>
          <w:rFonts w:ascii="黑体" w:hAnsi="黑体" w:eastAsia="黑体" w:cs="黑体"/>
          <w:spacing w:val="11"/>
          <w:sz w:val="31"/>
          <w:szCs w:val="31"/>
          <w:highlight w:val="none"/>
        </w:rPr>
        <w:t>概况</w:t>
      </w:r>
    </w:p>
    <w:p w14:paraId="1E306A54">
      <w:pPr>
        <w:keepNext w:val="0"/>
        <w:keepLines w:val="0"/>
        <w:pageBreakBefore w:val="0"/>
        <w:widowControl/>
        <w:kinsoku w:val="0"/>
        <w:wordWrap/>
        <w:overflowPunct/>
        <w:topLinePunct w:val="0"/>
        <w:autoSpaceDE w:val="0"/>
        <w:autoSpaceDN w:val="0"/>
        <w:bidi w:val="0"/>
        <w:adjustRightInd w:val="0"/>
        <w:snapToGrid w:val="0"/>
        <w:spacing w:before="2" w:line="324"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一、主要职责</w:t>
      </w:r>
    </w:p>
    <w:p w14:paraId="2499B3F8">
      <w:pPr>
        <w:keepNext w:val="0"/>
        <w:keepLines w:val="0"/>
        <w:pageBreakBefore w:val="0"/>
        <w:widowControl/>
        <w:kinsoku w:val="0"/>
        <w:wordWrap/>
        <w:overflowPunct/>
        <w:topLinePunct w:val="0"/>
        <w:autoSpaceDE w:val="0"/>
        <w:autoSpaceDN w:val="0"/>
        <w:bidi w:val="0"/>
        <w:adjustRightInd w:val="0"/>
        <w:snapToGrid w:val="0"/>
        <w:spacing w:before="2" w:line="324" w:lineRule="auto"/>
        <w:ind w:left="23"/>
        <w:textAlignment w:val="baseline"/>
        <w:rPr>
          <w:rFonts w:hint="eastAsia" w:ascii="仿宋" w:hAnsi="仿宋" w:eastAsia="仿宋" w:cs="仿宋"/>
          <w:spacing w:val="11"/>
          <w:sz w:val="31"/>
          <w:szCs w:val="31"/>
          <w:highlight w:val="none"/>
          <w:lang w:val="en-US" w:eastAsia="zh-CN"/>
        </w:rPr>
      </w:pPr>
      <w:r>
        <w:rPr>
          <w:rFonts w:hint="eastAsia" w:ascii="仿宋" w:hAnsi="仿宋" w:eastAsia="仿宋" w:cs="仿宋"/>
          <w:spacing w:val="11"/>
          <w:sz w:val="31"/>
          <w:szCs w:val="31"/>
          <w:highlight w:val="none"/>
          <w:lang w:val="en-US" w:eastAsia="zh-CN"/>
        </w:rPr>
        <w:t>二、</w:t>
      </w:r>
      <w:r>
        <w:rPr>
          <w:rFonts w:hint="eastAsia" w:ascii="仿宋" w:hAnsi="仿宋" w:eastAsia="仿宋" w:cs="仿宋"/>
          <w:spacing w:val="11"/>
          <w:sz w:val="31"/>
          <w:szCs w:val="31"/>
          <w:highlight w:val="none"/>
        </w:rPr>
        <w:t>预算单位构成</w:t>
      </w:r>
    </w:p>
    <w:p w14:paraId="126AE92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鹿邑县发展和改革委员会</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5A0F4F57">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086EE0BE">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鹿邑县发展和改革委员会</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41E60D09">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24167745">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5880BAAF">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013E932B">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0AB34598">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559D4990">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34BF2FDB">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34339818">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0AF0C5C7">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7A697E7C">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614E849E">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4A2AC8E6">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75C96615">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2BB30E97">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2FC86423">
      <w:pPr>
        <w:keepNext w:val="0"/>
        <w:keepLines w:val="0"/>
        <w:pageBreakBefore w:val="0"/>
        <w:widowControl/>
        <w:kinsoku w:val="0"/>
        <w:wordWrap/>
        <w:overflowPunct/>
        <w:topLinePunct w:val="0"/>
        <w:autoSpaceDE w:val="0"/>
        <w:autoSpaceDN w:val="0"/>
        <w:bidi w:val="0"/>
        <w:adjustRightInd w:val="0"/>
        <w:snapToGrid w:val="0"/>
        <w:spacing w:before="2" w:line="312" w:lineRule="auto"/>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223097DC">
      <w:pPr>
        <w:keepNext w:val="0"/>
        <w:keepLines w:val="0"/>
        <w:pageBreakBefore w:val="0"/>
        <w:widowControl/>
        <w:kinsoku w:val="0"/>
        <w:wordWrap/>
        <w:overflowPunct/>
        <w:topLinePunct w:val="0"/>
        <w:autoSpaceDE w:val="0"/>
        <w:autoSpaceDN w:val="0"/>
        <w:bidi w:val="0"/>
        <w:adjustRightInd w:val="0"/>
        <w:snapToGrid w:val="0"/>
        <w:spacing w:before="2" w:line="312" w:lineRule="auto"/>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bookmarkStart w:id="0" w:name="_GoBack"/>
      <w:bookmarkEnd w:id="0"/>
      <w:r>
        <w:rPr>
          <w:rFonts w:hint="eastAsia" w:ascii="仿宋" w:hAnsi="仿宋" w:eastAsia="仿宋" w:cs="仿宋"/>
          <w:spacing w:val="11"/>
          <w:sz w:val="31"/>
          <w:szCs w:val="31"/>
          <w:highlight w:val="none"/>
        </w:rPr>
        <w:t>表</w:t>
      </w:r>
      <w:r>
        <w:br w:type="page"/>
      </w:r>
    </w:p>
    <w:p w14:paraId="7A08B625">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鹿邑县发展和改革委员会概况</w:t>
      </w:r>
    </w:p>
    <w:p w14:paraId="07C7F69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3F6DBC04">
      <w:pPr>
        <w:kinsoku w:val="0"/>
        <w:overflowPunct w:val="0"/>
        <w:adjustRightInd w:val="0"/>
        <w:snapToGrid w:val="0"/>
        <w:spacing w:line="580" w:lineRule="exact"/>
        <w:ind w:right="3569" w:firstLine="640" w:firstLineChars="200"/>
        <w:jc w:val="left"/>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（一）机构设置情况</w:t>
      </w:r>
    </w:p>
    <w:p w14:paraId="4ABAB55C">
      <w:pPr>
        <w:kinsoku w:val="0"/>
        <w:overflowPunct w:val="0"/>
        <w:adjustRightInd w:val="0"/>
        <w:snapToGrid w:val="0"/>
        <w:spacing w:line="580" w:lineRule="exact"/>
        <w:ind w:right="25"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鹿邑县发展和改革委员会属行政全供单位，机构规格为正科级，内设科室15个：办公室、国民经济与国防协调发展股、政策研究和体制改革股、固定资产投资与城市发展股、营商环境建设股、地区经贸与外资股、农村经济股、基础设施发展股、工业发展与高新技术发展股、服务业发展和经济贸易股、资源节约和环境保护股、社会发展股。财政金融和信用建设股、物价管理办公室、县政府重点项目建设办公室，管理预算单位物价办1个。</w:t>
      </w:r>
    </w:p>
    <w:p w14:paraId="7476B726">
      <w:pPr>
        <w:kinsoku w:val="0"/>
        <w:overflowPunct w:val="0"/>
        <w:adjustRightInd w:val="0"/>
        <w:snapToGrid w:val="0"/>
        <w:spacing w:line="580" w:lineRule="exact"/>
        <w:ind w:right="25" w:rightChars="0" w:firstLine="640" w:firstLineChars="200"/>
        <w:jc w:val="left"/>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（二）部门职责</w:t>
      </w:r>
    </w:p>
    <w:p w14:paraId="44620D6D">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1、拟订并组织实施全县国民经济和社会发展中长期规划和年度计划。牵头组织统一规划体系建设。负责县级专项规划、区域规划、空间规划与县发展规划的统筹衔接。</w:t>
      </w:r>
    </w:p>
    <w:p w14:paraId="5E99A320">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2、提出全县加快建设现代化经济体系、推动高质量发展的总体目标、重大任务以及相关政策。组织开展重大规划、重大政策、重大工程等评估督导，提出相关调整建议。</w:t>
      </w:r>
    </w:p>
    <w:p w14:paraId="09A59094">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统筹提出全县国民经济和社会发展主要目标，监测预测预警宏观经济和社会发展态势趋势，提出宏观调控政策建议。综合协调宏观经济政策，牵头研究宏观经济应对措施。调节经济运行，协调解决经济运行中的重大问题。拟订并组织实施有关价格政策，组织制定少数由政府管理的重要商品、服务价格和重要收费标准。 </w:t>
      </w:r>
    </w:p>
    <w:p w14:paraId="18FD9B81">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指导推进和综合协调全县经济体制改革有关工作，提出相关改革建议。协调推进产权制度和要素市场化配置改革。推动完善基本经济制度和现代市场体系建设，会同相关部门组织实施市场准入负面清单制度。牵头推进优化营商环境工作。</w:t>
      </w:r>
    </w:p>
    <w:p w14:paraId="5D028AC9">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提出全县利用外资和境外投资的规划、总量平衡和结构优化政策。牵头推进全县参与“一带一路”建设。承担统筹协调走出去有关工作。会同有关部门组织实施外商投资准入负面清单。负责全口径外债总量控制、结构优化和监测工作。</w:t>
      </w:r>
    </w:p>
    <w:p w14:paraId="1F11AF5C">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负责全县投资综合管理，拟订全社会固定资产投资总规模、结构调控目标和政策，会同相关部门拟订政府投资项目审批权限。衔接申请中央财政性建设资金，安排县级财政性建设资金，按县政府规定权限审批、核准、审核重大项目。规划重大建设项目和生产力布局。承担全县重点项目建设协调服务工作。拟订并推动落实鼓励民间投资政策措施。</w:t>
      </w:r>
    </w:p>
    <w:p w14:paraId="0CC45615">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7、推进落实国家区域协调发展战略、新型城镇化战略和重大政策，组织拟订相关区域规划和政策。统筹推进实施国家重大区域发展战略。组织编制并推动实施新型城镇化规划。</w:t>
      </w:r>
    </w:p>
    <w:p w14:paraId="69CF7090">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组织拟订全县综合性产业政策。协调一二三产业发展重大问题并统筹衔接相关发展规划和重大政策。协调推进重大基础设施建设发展，组织拟订并推动实施服务业及现代物流业规划和重大政策。统筹推进产业集聚区和服务业载体平台建设。综合研判消费变动趋势，拟订实施促进消费的综合性政策措施。</w:t>
      </w:r>
    </w:p>
    <w:p w14:paraId="72562BCB">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推动实施全县创新驱动发展。会同相关部门拟订推进创新创业的规划和政策，提出创新发展和培育经济发展新动能的政策。会同相关部门规划布局县重大科技基础设施。组织拟订并推动实施高技术产业和战略性新兴产业发展规划政策，协调产业升级、重大技术装备推广应用等方面的重大问题。</w:t>
      </w:r>
    </w:p>
    <w:p w14:paraId="227EF60F">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跟踪研判全县涉及经济安全、生态安全、资源安全、科技安全、社会安全等各类风险隐患，提出相关工作建议。承担全县经济、生态、资源等重点领域国家安全工作协调机制相关工作。按照分工，承担安全生产工作相关职责。负责全县重要商品总量平衡和宏观调控，提出重要工业品、原材料和重要农产品进出口调控意见并协调落实。会同有关部门拟订县级储备物资品种目录、总体发展规划。</w:t>
      </w:r>
    </w:p>
    <w:p w14:paraId="7181C1B1">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负责全县社会发展与国民经济发展的政策衔接，协调有关重大问题。组织拟订全县社会发展总体规划，统筹推进基本公共服务体系建设和收入分配制度改革，提出促进就业、完善社会保障与经济协调发展的政策建议。牵头开展全县社会信用体系建设。</w:t>
      </w:r>
    </w:p>
    <w:p w14:paraId="7304A04D">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推进实施可持续发展战略，推动生态文明建设，协调生态环境保护与修复、能源资源节约和综合利用等工作。提出健全生态保护补偿机制的政策措施，综合协调环保产业和清洁生产促进有关工作。提出全县能源消费控制目标、任务并组织实施。</w:t>
      </w:r>
    </w:p>
    <w:p w14:paraId="153CADFE">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13、会同有关部门拟订推进全县经济建设与国防建设协调发展的规划和政策，协调有关重大问题。推动实施军民融合发展战略，组织编制国民经济动员规划，协调和组织实施国民经济动员有关工作。</w:t>
      </w:r>
    </w:p>
    <w:p w14:paraId="35C87565">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14、承担鹿邑县参与鹿邑县重点项目建设领导小组等有关具体工作。</w:t>
      </w:r>
    </w:p>
    <w:p w14:paraId="4C1FEE2B">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贯彻执行国家粮食流通和物资储备管理的法律法规；拟订全县粮食流通和物资储备体制改革方案并组织实施；推动国有粮食企业改革。拟订全县粮食流通和物资储备管理相关政策并监督实施，会同有关部门研究提出全县粮食和物资储备中长期规划建议；负责全县粮食储备体系建设；负责全县粮食流通和物资储备监督检查工作。负责粮食流通行业管理。</w:t>
      </w:r>
    </w:p>
    <w:p w14:paraId="3ADE0268">
      <w:pPr>
        <w:kinsoku w:val="0"/>
        <w:overflowPunct w:val="0"/>
        <w:adjustRightInd w:val="0"/>
        <w:snapToGrid w:val="0"/>
        <w:spacing w:line="580" w:lineRule="exact"/>
        <w:ind w:right="23" w:rightChars="11" w:firstLine="640" w:firstLineChars="200"/>
        <w:jc w:val="left"/>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16、完成县委、县政府交办的其他任务。</w:t>
      </w:r>
    </w:p>
    <w:p w14:paraId="10BC9E87">
      <w:pPr>
        <w:kinsoku w:val="0"/>
        <w:overflowPunct w:val="0"/>
        <w:adjustRightInd w:val="0"/>
        <w:snapToGrid w:val="0"/>
        <w:spacing w:line="580" w:lineRule="exact"/>
        <w:ind w:right="25" w:rightChars="0" w:firstLine="640" w:firstLineChars="200"/>
        <w:jc w:val="left"/>
        <w:outlineLvl w:val="0"/>
        <w:rPr>
          <w:rFonts w:ascii="黑体" w:hAnsi="仿宋_GB2312" w:eastAsia="黑体" w:cs="仿宋_GB2312"/>
          <w:color w:val="000000"/>
          <w:sz w:val="32"/>
          <w:szCs w:val="32"/>
        </w:rPr>
      </w:pPr>
      <w:r>
        <w:rPr>
          <w:rFonts w:hint="eastAsia" w:ascii="黑体" w:hAnsi="仿宋_GB2312" w:eastAsia="黑体" w:cs="仿宋_GB2312"/>
          <w:color w:val="000000"/>
          <w:sz w:val="32"/>
          <w:szCs w:val="32"/>
        </w:rPr>
        <w:t>二、鹿邑县发展和改革委员会部门</w:t>
      </w:r>
      <w:r>
        <w:rPr>
          <w:rFonts w:hint="eastAsia" w:ascii="黑体" w:hAnsi="仿宋_GB2312" w:eastAsia="黑体" w:cs="仿宋_GB2312"/>
          <w:color w:val="000000"/>
          <w:sz w:val="32"/>
          <w:szCs w:val="32"/>
          <w:lang w:eastAsia="zh-CN"/>
        </w:rPr>
        <w:t>所属</w:t>
      </w:r>
      <w:r>
        <w:rPr>
          <w:rFonts w:hint="eastAsia" w:ascii="黑体" w:hAnsi="仿宋_GB2312" w:eastAsia="黑体" w:cs="仿宋_GB2312"/>
          <w:color w:val="000000"/>
          <w:sz w:val="32"/>
          <w:szCs w:val="32"/>
        </w:rPr>
        <w:t>预算单位构成</w:t>
      </w:r>
    </w:p>
    <w:p w14:paraId="5EC2E79F">
      <w:pPr>
        <w:spacing w:line="592"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纳入本部门2024年度部门预算编制范围的单位共一个：鹿邑县发展和改革委员会本级，无二级预算单位。</w:t>
      </w:r>
    </w:p>
    <w:p w14:paraId="4D494667">
      <w:pPr>
        <w:keepNext w:val="0"/>
        <w:keepLines w:val="0"/>
        <w:pageBreakBefore w:val="0"/>
        <w:wordWrap w:val="0"/>
        <w:overflowPunct/>
        <w:topLinePunct w:val="0"/>
        <w:bidi w:val="0"/>
        <w:ind w:firstLine="3360" w:firstLineChars="1600"/>
        <w:rPr>
          <w:rFonts w:hint="eastAsia" w:ascii="黑体" w:hAnsi="黑体" w:eastAsia="黑体" w:cs="黑体"/>
          <w:spacing w:val="19"/>
          <w:sz w:val="31"/>
          <w:szCs w:val="31"/>
          <w:highlight w:val="none"/>
        </w:rPr>
      </w:pPr>
      <w:r>
        <w:br w:type="page"/>
      </w:r>
      <w:r>
        <w:rPr>
          <w:rFonts w:hint="eastAsia" w:ascii="黑体" w:hAnsi="黑体" w:eastAsia="黑体" w:cs="黑体"/>
          <w:spacing w:val="19"/>
          <w:sz w:val="31"/>
          <w:szCs w:val="31"/>
          <w:highlight w:val="none"/>
        </w:rPr>
        <w:t>第二部分</w:t>
      </w:r>
    </w:p>
    <w:p w14:paraId="6C378FE3">
      <w:pPr>
        <w:keepNext w:val="0"/>
        <w:keepLines w:val="0"/>
        <w:pageBreakBefore w:val="0"/>
        <w:wordWrap w:val="0"/>
        <w:overflowPunct/>
        <w:topLinePunct w:val="0"/>
        <w:bidi w:val="0"/>
        <w:ind w:firstLine="5568" w:firstLineChars="1600"/>
        <w:rPr>
          <w:rFonts w:hint="eastAsia" w:ascii="黑体" w:hAnsi="黑体" w:eastAsia="黑体" w:cs="黑体"/>
          <w:spacing w:val="19"/>
          <w:sz w:val="31"/>
          <w:szCs w:val="31"/>
          <w:highlight w:val="none"/>
        </w:rPr>
      </w:pP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鹿邑县发展和改革委员会2024年部门预算情况说明</w:t>
      </w:r>
    </w:p>
    <w:p w14:paraId="46485E9C">
      <w:pPr>
        <w:keepNext w:val="0"/>
        <w:keepLines w:val="0"/>
        <w:pageBreakBefore w:val="0"/>
        <w:wordWrap w:val="0"/>
        <w:overflowPunct/>
        <w:topLinePunct w:val="0"/>
        <w:bidi w:val="0"/>
        <w:ind w:firstLine="5568" w:firstLineChars="1600"/>
        <w:rPr>
          <w:rFonts w:hint="eastAsia" w:ascii="黑体" w:hAnsi="黑体" w:eastAsia="黑体" w:cs="黑体"/>
          <w:spacing w:val="19"/>
          <w:sz w:val="31"/>
          <w:szCs w:val="31"/>
          <w:highlight w:val="none"/>
        </w:rPr>
      </w:pPr>
    </w:p>
    <w:p w14:paraId="42E364B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5155D99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鹿邑县发展和改革委员会2024年收入总计2552.01万元，支出总计2552.01万元，与2023年预算相比，收、支总计增加1719.07万元，增长206.39%，主要原因是：</w:t>
      </w:r>
      <w:r>
        <w:rPr>
          <w:rFonts w:hint="eastAsia" w:ascii="仿宋" w:hAnsi="仿宋" w:eastAsia="仿宋" w:cs="仿宋"/>
          <w:snapToGrid/>
          <w:kern w:val="2"/>
          <w:sz w:val="32"/>
          <w:szCs w:val="32"/>
          <w:highlight w:val="yellow"/>
          <w:lang w:val="en-US" w:eastAsia="zh-CN" w:bidi="ar-SA"/>
        </w:rPr>
        <w:t>*****。</w:t>
      </w:r>
    </w:p>
    <w:p w14:paraId="7768F55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5257800" cy="3261360"/>
            <wp:effectExtent l="4445" t="4445" r="825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7DFDAB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437A1AE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鹿邑县发展和改革委员会2024年收入合计2552.01万元，其中：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717.64</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1834.37</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16B5E06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029200" cy="3241040"/>
            <wp:effectExtent l="4445" t="4445" r="10795" b="1587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F0EA7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2FACF5B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鹿邑县发展和改革委员会2024年支出合计2552.01万元，其中：基本支出457.06万元，占17.91%；项目支出2094.95万元，占82.09%。</w:t>
      </w:r>
    </w:p>
    <w:p w14:paraId="6EDB378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074920" cy="3455035"/>
            <wp:effectExtent l="4445" t="4445" r="13335" b="762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163BC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5368DFE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鹿邑县发展和改革委员会2024年一般公共预算收支预算2552.01万元，政府性基金收支预算0.00万元，国有资本经营预算0.00万元。与2023年相比，一般公共预算收支预算增加1719.07万元，增长206.39%，主要原因是：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25830C86">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pPr>
      <w:r>
        <w:drawing>
          <wp:inline distT="0" distB="0" distL="114300" distR="114300">
            <wp:extent cx="5267960" cy="2891155"/>
            <wp:effectExtent l="4445" t="4445" r="15875" b="1524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0561BC">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lang w:val="en-US" w:eastAsia="zh-CN"/>
        </w:rPr>
      </w:pPr>
      <w:r>
        <w:drawing>
          <wp:inline distT="0" distB="0" distL="114300" distR="114300">
            <wp:extent cx="5286375" cy="2809875"/>
            <wp:effectExtent l="4445" t="4445" r="12700" b="508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AC710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7304874E">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鹿邑县发展和改革委员会2024年一般公共预算支出年初预算为717.64万元。其中</w:t>
      </w:r>
      <w:r>
        <w:rPr>
          <w:rFonts w:hint="eastAsia" w:ascii="仿宋" w:hAnsi="仿宋" w:eastAsia="仿宋" w:cs="仿宋"/>
          <w:sz w:val="32"/>
          <w:szCs w:val="32"/>
          <w:highlight w:val="none"/>
          <w:lang w:val="en-US" w:eastAsia="zh-CN"/>
        </w:rPr>
        <w:t>基本支出457.06万元，占63.69%；项目支出260.58万元，占36.31%</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1BC38220">
      <w:pPr>
        <w:spacing w:line="592"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sz w:val="32"/>
          <w:szCs w:val="32"/>
        </w:rPr>
        <w:t>1、一般公共服务支出</w:t>
      </w:r>
      <w:r>
        <w:rPr>
          <w:rFonts w:hint="eastAsia" w:ascii="仿宋" w:hAnsi="仿宋" w:eastAsia="仿宋" w:cs="仿宋"/>
          <w:sz w:val="32"/>
          <w:szCs w:val="32"/>
          <w:lang w:val="en-US" w:eastAsia="zh-CN"/>
        </w:rPr>
        <w:t>615.05</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85.71</w:t>
      </w:r>
      <w:r>
        <w:rPr>
          <w:rFonts w:hint="eastAsia" w:ascii="仿宋" w:hAnsi="仿宋" w:eastAsia="仿宋" w:cs="仿宋"/>
          <w:sz w:val="32"/>
          <w:szCs w:val="32"/>
        </w:rPr>
        <w:t>%。其中：发展与改革事务（款）行政运行（项）支出</w:t>
      </w:r>
      <w:r>
        <w:rPr>
          <w:rFonts w:hint="eastAsia" w:ascii="仿宋" w:hAnsi="仿宋" w:eastAsia="仿宋" w:cs="仿宋"/>
          <w:sz w:val="32"/>
          <w:szCs w:val="32"/>
          <w:lang w:val="en-US" w:eastAsia="zh-CN"/>
        </w:rPr>
        <w:t>615.05</w:t>
      </w:r>
      <w:r>
        <w:rPr>
          <w:rFonts w:hint="eastAsia" w:ascii="仿宋" w:hAnsi="仿宋" w:eastAsia="仿宋" w:cs="仿宋"/>
          <w:sz w:val="32"/>
          <w:szCs w:val="32"/>
        </w:rPr>
        <w:t>万元</w:t>
      </w:r>
      <w:r>
        <w:rPr>
          <w:rFonts w:hint="eastAsia" w:ascii="仿宋" w:hAnsi="仿宋" w:eastAsia="仿宋" w:cs="仿宋"/>
          <w:color w:val="000000"/>
          <w:sz w:val="32"/>
          <w:szCs w:val="32"/>
          <w:lang w:val="en-US" w:eastAsia="zh-CN"/>
        </w:rPr>
        <w:t>。</w:t>
      </w:r>
    </w:p>
    <w:p w14:paraId="55437A95">
      <w:pPr>
        <w:spacing w:line="592"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45.89</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6.39</w:t>
      </w:r>
      <w:r>
        <w:rPr>
          <w:rFonts w:hint="eastAsia" w:ascii="仿宋" w:hAnsi="仿宋" w:eastAsia="仿宋" w:cs="仿宋"/>
          <w:sz w:val="32"/>
          <w:szCs w:val="32"/>
        </w:rPr>
        <w:t>%。其中：行政事业单位养老支出（款）机关事业单位基本养老保险缴费（项）支出</w:t>
      </w:r>
      <w:r>
        <w:rPr>
          <w:rFonts w:hint="eastAsia" w:ascii="仿宋" w:hAnsi="仿宋" w:eastAsia="仿宋" w:cs="仿宋"/>
          <w:sz w:val="32"/>
          <w:szCs w:val="32"/>
          <w:lang w:val="en-US" w:eastAsia="zh-CN"/>
        </w:rPr>
        <w:t>39.66</w:t>
      </w:r>
      <w:r>
        <w:rPr>
          <w:rFonts w:hint="eastAsia" w:ascii="仿宋" w:hAnsi="仿宋" w:eastAsia="仿宋" w:cs="仿宋"/>
          <w:sz w:val="32"/>
          <w:szCs w:val="32"/>
        </w:rPr>
        <w:t>万元；其他社会保障和就业支出（款）其他社会保障和就业（项）支出</w:t>
      </w:r>
      <w:r>
        <w:rPr>
          <w:rFonts w:hint="eastAsia" w:ascii="仿宋" w:hAnsi="仿宋" w:eastAsia="仿宋" w:cs="仿宋"/>
          <w:sz w:val="32"/>
          <w:szCs w:val="32"/>
          <w:lang w:val="en-US" w:eastAsia="zh-CN"/>
        </w:rPr>
        <w:t>6.23</w:t>
      </w:r>
      <w:r>
        <w:rPr>
          <w:rFonts w:hint="eastAsia" w:ascii="仿宋" w:hAnsi="仿宋" w:eastAsia="仿宋" w:cs="仿宋"/>
          <w:sz w:val="32"/>
          <w:szCs w:val="32"/>
        </w:rPr>
        <w:t>万元</w:t>
      </w:r>
      <w:r>
        <w:rPr>
          <w:rFonts w:hint="eastAsia" w:ascii="仿宋" w:hAnsi="仿宋" w:eastAsia="仿宋" w:cs="仿宋"/>
          <w:color w:val="000000"/>
          <w:sz w:val="32"/>
          <w:szCs w:val="32"/>
          <w:lang w:eastAsia="zh-CN"/>
        </w:rPr>
        <w:t>。</w:t>
      </w:r>
    </w:p>
    <w:p w14:paraId="7A3ED133">
      <w:pPr>
        <w:spacing w:line="592"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、卫生健康支出</w:t>
      </w:r>
      <w:r>
        <w:rPr>
          <w:rFonts w:hint="eastAsia" w:ascii="仿宋" w:hAnsi="仿宋" w:eastAsia="仿宋" w:cs="仿宋"/>
          <w:color w:val="000000"/>
          <w:sz w:val="32"/>
          <w:szCs w:val="32"/>
          <w:lang w:val="en-US" w:eastAsia="zh-CN"/>
        </w:rPr>
        <w:t>26.66</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3.72</w:t>
      </w:r>
      <w:r>
        <w:rPr>
          <w:rFonts w:hint="eastAsia" w:ascii="仿宋" w:hAnsi="仿宋" w:eastAsia="仿宋" w:cs="仿宋"/>
          <w:sz w:val="32"/>
          <w:szCs w:val="32"/>
        </w:rPr>
        <w:t>%。其中：行政事业单位医疗（款）行政单位医疗（项）支出</w:t>
      </w:r>
      <w:r>
        <w:rPr>
          <w:rFonts w:hint="eastAsia" w:ascii="仿宋" w:hAnsi="仿宋" w:eastAsia="仿宋" w:cs="仿宋"/>
          <w:sz w:val="32"/>
          <w:szCs w:val="32"/>
          <w:lang w:val="en-US" w:eastAsia="zh-CN"/>
        </w:rPr>
        <w:t>13.32</w:t>
      </w:r>
      <w:r>
        <w:rPr>
          <w:rFonts w:hint="eastAsia" w:ascii="仿宋" w:hAnsi="仿宋" w:eastAsia="仿宋" w:cs="仿宋"/>
          <w:sz w:val="32"/>
          <w:szCs w:val="32"/>
        </w:rPr>
        <w:t>万元；行政事业单位医疗（款）事业单位医疗（项）支出2.75万元；行政事业单位医疗（款）其他行政事业单位医疗（项）支出</w:t>
      </w:r>
      <w:r>
        <w:rPr>
          <w:rFonts w:hint="eastAsia" w:ascii="仿宋" w:hAnsi="仿宋" w:eastAsia="仿宋" w:cs="仿宋"/>
          <w:sz w:val="32"/>
          <w:szCs w:val="32"/>
          <w:lang w:val="en-US" w:eastAsia="zh-CN"/>
        </w:rPr>
        <w:t>10.59</w:t>
      </w:r>
      <w:r>
        <w:rPr>
          <w:rFonts w:hint="eastAsia" w:ascii="仿宋" w:hAnsi="仿宋" w:eastAsia="仿宋" w:cs="仿宋"/>
          <w:sz w:val="32"/>
          <w:szCs w:val="32"/>
        </w:rPr>
        <w:t>万元</w:t>
      </w:r>
      <w:r>
        <w:rPr>
          <w:rFonts w:hint="eastAsia" w:ascii="仿宋" w:hAnsi="仿宋" w:eastAsia="仿宋" w:cs="仿宋"/>
          <w:color w:val="000000"/>
          <w:sz w:val="32"/>
          <w:szCs w:val="32"/>
          <w:lang w:eastAsia="zh-CN"/>
        </w:rPr>
        <w:t>。</w:t>
      </w:r>
    </w:p>
    <w:p w14:paraId="2836568C">
      <w:pPr>
        <w:spacing w:line="592"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30.03</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4.18</w:t>
      </w:r>
      <w:r>
        <w:rPr>
          <w:rFonts w:hint="eastAsia" w:ascii="仿宋" w:hAnsi="仿宋" w:eastAsia="仿宋" w:cs="仿宋"/>
          <w:sz w:val="32"/>
          <w:szCs w:val="32"/>
        </w:rPr>
        <w:t>%。其中：</w:t>
      </w:r>
      <w:r>
        <w:rPr>
          <w:rFonts w:hint="eastAsia" w:ascii="仿宋" w:hAnsi="仿宋" w:eastAsia="仿宋" w:cs="仿宋"/>
          <w:color w:val="auto"/>
          <w:spacing w:val="0"/>
          <w:kern w:val="0"/>
          <w:sz w:val="32"/>
          <w:szCs w:val="32"/>
          <w:lang w:val="en-US" w:eastAsia="zh-CN"/>
        </w:rPr>
        <w:t>住房改革支出（款）住房公积金（项）支出</w:t>
      </w:r>
      <w:r>
        <w:rPr>
          <w:rFonts w:hint="eastAsia" w:ascii="仿宋" w:hAnsi="仿宋" w:eastAsia="仿宋" w:cs="仿宋"/>
          <w:sz w:val="32"/>
          <w:szCs w:val="32"/>
          <w:lang w:val="en-US" w:eastAsia="zh-CN"/>
        </w:rPr>
        <w:t>30.03</w:t>
      </w:r>
      <w:r>
        <w:rPr>
          <w:rFonts w:hint="eastAsia" w:ascii="仿宋" w:hAnsi="仿宋" w:eastAsia="仿宋" w:cs="仿宋"/>
          <w:color w:val="auto"/>
          <w:sz w:val="32"/>
          <w:szCs w:val="32"/>
        </w:rPr>
        <w:t>万元</w:t>
      </w:r>
      <w:r>
        <w:rPr>
          <w:rFonts w:hint="eastAsia" w:ascii="仿宋" w:hAnsi="仿宋" w:eastAsia="仿宋" w:cs="仿宋"/>
          <w:sz w:val="32"/>
          <w:szCs w:val="32"/>
          <w:lang w:val="en-US" w:eastAsia="zh-CN"/>
        </w:rPr>
        <w:t>。</w:t>
      </w:r>
    </w:p>
    <w:p w14:paraId="2C367547">
      <w:pPr>
        <w:spacing w:line="240" w:lineRule="auto"/>
        <w:ind w:firstLine="0" w:firstLineChars="0"/>
        <w:jc w:val="both"/>
        <w:rPr>
          <w:rFonts w:hint="eastAsia" w:ascii="仿宋" w:hAnsi="仿宋" w:eastAsia="仿宋" w:cs="仿宋"/>
          <w:sz w:val="32"/>
          <w:szCs w:val="32"/>
          <w:lang w:val="en-US" w:eastAsia="zh-CN"/>
        </w:rPr>
      </w:pPr>
      <w:r>
        <w:drawing>
          <wp:inline distT="0" distB="0" distL="114300" distR="114300">
            <wp:extent cx="5316855" cy="3837305"/>
            <wp:effectExtent l="4445" t="4445" r="12700" b="635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F961E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189E71B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鹿邑县发展和改革委员会2024年一般公共预算基本支出年初预算为457.06万元，其中：人员经费支出417.70万元，占91.39%；公用经费支出39.36万元，占8.61%。</w:t>
      </w:r>
    </w:p>
    <w:p w14:paraId="7FFE64E1">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348605" cy="3357245"/>
            <wp:effectExtent l="4445" t="4445" r="6350" b="1651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AA23D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0214D7A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发展和改革委员会2024年一般公共预算基本支出年初预算为457.06万元，其中：人员经费支出417.70万元，占91.39%；主要包括：基本工资199.60万元、津贴补贴54.77万元、奖金42.04万元、绩效工资11.11万元、机关事业单位基本养老保险缴费39.66万元、医疗保险缴费16.07万元、其他社会保障缴费12.13万元、住房公积金30.03万元、退休费7.58万元、生活补助4.69万元。公用经费支出39.36万元，占8.61%。主要包括：办公费8.70万元、公务用车运行维护费3.010万元、其他交通费用27.66万元。</w:t>
      </w:r>
    </w:p>
    <w:p w14:paraId="19688CC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4BEE742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鹿邑县发展和改革委员会2024年机构运行经费支出预算39.36万元，主要保障机关机构正常运转及正常履职需要的办公费、水电费、物业费、维修费、差旅费等支出，与2023年相比减少10.74万元，下降21.44%，主要原因：</w:t>
      </w:r>
      <w:r>
        <w:rPr>
          <w:rFonts w:hint="eastAsia" w:ascii="仿宋_GB2312" w:hAnsi="Times New Roman" w:eastAsia="仿宋_GB2312" w:cs="仿宋_GB2312"/>
          <w:kern w:val="2"/>
          <w:sz w:val="32"/>
          <w:szCs w:val="32"/>
          <w:highlight w:val="yellow"/>
          <w:lang w:val="en-US" w:eastAsia="zh-CN"/>
        </w:rPr>
        <w:t>*****。</w:t>
      </w:r>
    </w:p>
    <w:p w14:paraId="5425850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7A9B086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发展和改革委员会2024年预算支出2552.01万元，其中：301工资福利支出506.79万元，主要包括：基本工资226.36万元、津贴补贴58.03万元、奖金42.04万元、绩效工资11.11万元、基本养老保险缴费59.25万元、医疗保险缴费16.07万元、其他社会保障缴费12.13万元、住房公积金30.03万元、其他工资福利性支出51.77万元；302商品和服务支出302.93万元，主要包括：办公费235.07万元、委托业务费10.00万元、公务用车费运行维护费3.5万元、其他商品服务支出26.7万元、其他交通费用27.66万元；303对个人和家庭的补助支出12.27万元，主要包括：生活补助4.69万元、退休费7.58万元；309资本性支出（基本建设）16.00元，主要包括：公务用车购置16.00万元；399其他支出1714.00万元，主要包括：、其他支出1714.00万元等。</w:t>
      </w:r>
    </w:p>
    <w:p w14:paraId="7BA736C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6799D2A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鹿邑县发展和改革委员会2024年“三公”经费预算为19.00万元。2024年“三公”经费支出预算数较2023年持平。</w:t>
      </w:r>
    </w:p>
    <w:p w14:paraId="0F5A453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3CAFA86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(一)因公出国(境)费0.00万元，预算数较2023年持平。</w:t>
      </w:r>
    </w:p>
    <w:p w14:paraId="0FC5FAC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19.00万元，其中，公务用车购置费16.00万元，主要用于单位公务用车购置支出（含车辆购置税、牌照费），较2023年持平；公务用车运行维护费3.00万元，主要用于开展工作所需公务用车的燃料费、维修费、过路过桥费、保险费、安全奖励费用等支出，较2023年持平。</w:t>
      </w:r>
    </w:p>
    <w:p w14:paraId="7E127E9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(三)公务接待费0.00万元，预算数较2023持平。</w:t>
      </w:r>
    </w:p>
    <w:p w14:paraId="0FEB080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134610" cy="3151505"/>
            <wp:effectExtent l="4445" t="4445" r="17145" b="635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B0D11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45FB9B0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鹿邑县发展和改革委员会2024年无政府性基金预算拨款安排的支出。</w:t>
      </w:r>
    </w:p>
    <w:p w14:paraId="358F554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64FA56B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鹿邑县发展和改革委员会2024年无国有资本经营预算拨款安排的支出。</w:t>
      </w:r>
    </w:p>
    <w:p w14:paraId="0CEB337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775B876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鹿邑县发展和改革委员会</w:t>
      </w:r>
      <w:r>
        <w:rPr>
          <w:rFonts w:hint="eastAsia" w:ascii="仿宋" w:hAnsi="仿宋" w:eastAsia="仿宋" w:cs="仿宋"/>
          <w:snapToGrid/>
          <w:kern w:val="2"/>
          <w:sz w:val="32"/>
          <w:szCs w:val="32"/>
          <w:highlight w:val="none"/>
          <w:lang w:val="en-US" w:eastAsia="zh-CN" w:bidi="ar-SA"/>
        </w:rPr>
        <w:t>政府采购预算安排0.00万元，其中：政府采购货物预算370.00万元、政府采购工程预算0.00万元、政府采购服务预算0.00万元。</w:t>
      </w:r>
    </w:p>
    <w:p w14:paraId="5E5F986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24B23633">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鹿邑县发展和改革委员会</w:t>
      </w:r>
      <w:r>
        <w:rPr>
          <w:rFonts w:hint="eastAsia" w:ascii="仿宋" w:hAnsi="仿宋" w:eastAsia="仿宋" w:cs="仿宋"/>
          <w:snapToGrid/>
          <w:kern w:val="2"/>
          <w:sz w:val="32"/>
          <w:szCs w:val="32"/>
          <w:highlight w:val="none"/>
          <w:lang w:val="en-US" w:eastAsia="zh-CN" w:bidi="ar-SA"/>
        </w:rPr>
        <w:t>纳入预算绩效管理的支出总额为2552.01万元，其中：人员经费支出417.70万元，公用经费支出39.36万元，项目支出总额2094.95万元。支出项目共28.00个，其中：预算支出100万元及100万元以上的重点项目3个，支出总额1600.00万元。均按要求编制了绩效目标，从项目产出、项目效益、满意度等方面设置了绩效指标，综合反映项目预期完成的数量、实效、质量，预期达到的社会经济效益、可持续影响以及服务对象满意度等情况。</w:t>
      </w:r>
    </w:p>
    <w:p w14:paraId="76954CA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532E317F">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b/>
          <w:sz w:val="32"/>
          <w:szCs w:val="32"/>
          <w:lang w:val="en-US" w:eastAsia="zh-CN"/>
        </w:rPr>
      </w:pPr>
      <w:r>
        <w:rPr>
          <w:rFonts w:hint="eastAsia" w:ascii="楷体" w:hAnsi="楷体" w:eastAsia="楷体" w:cs="Times New Roman"/>
          <w:snapToGrid/>
          <w:spacing w:val="-2"/>
          <w:kern w:val="2"/>
          <w:sz w:val="32"/>
          <w:szCs w:val="32"/>
          <w:highlight w:val="none"/>
          <w:lang w:val="en-US" w:eastAsia="zh-CN" w:bidi="ar-SA"/>
        </w:rPr>
        <w:t>(一)</w:t>
      </w:r>
      <w:r>
        <w:rPr>
          <w:rFonts w:hint="eastAsia" w:ascii="仿宋_GB2312" w:hAnsi="仿宋_GB2312" w:eastAsia="仿宋_GB2312" w:cs="仿宋_GB2312"/>
          <w:b/>
          <w:sz w:val="32"/>
          <w:szCs w:val="32"/>
          <w:lang w:val="en-US" w:eastAsia="zh-CN"/>
        </w:rPr>
        <w:t>国有资产占用情况</w:t>
      </w:r>
    </w:p>
    <w:p w14:paraId="685FFE59">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4E172D0F">
      <w:pPr>
        <w:keepNext w:val="0"/>
        <w:keepLines w:val="0"/>
        <w:pageBreakBefore w:val="0"/>
        <w:widowControl w:val="0"/>
        <w:kinsoku/>
        <w:wordWrap w:val="0"/>
        <w:overflowPunct/>
        <w:topLinePunct w:val="0"/>
        <w:autoSpaceDE/>
        <w:autoSpaceDN/>
        <w:bidi w:val="0"/>
        <w:adjustRightInd/>
        <w:snapToGrid/>
        <w:spacing w:line="578" w:lineRule="exact"/>
        <w:ind w:firstLine="316" w:firstLineChars="1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77B0F57A">
      <w:pPr>
        <w:spacing w:line="592" w:lineRule="exact"/>
        <w:ind w:firstLine="640" w:firstLineChars="200"/>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鹿邑县发展和改革委员会2024年无负责管理的专项转移支付项目。</w:t>
      </w:r>
    </w:p>
    <w:p w14:paraId="11548580">
      <w:pPr>
        <w:autoSpaceDE w:val="0"/>
        <w:autoSpaceDN w:val="0"/>
        <w:adjustRightInd w:val="0"/>
        <w:spacing w:line="592" w:lineRule="exact"/>
        <w:ind w:firstLine="321" w:firstLineChars="100"/>
        <w:rPr>
          <w:rFonts w:ascii="仿宋_GB2312" w:hAnsi="仿宋_GB2312" w:eastAsia="仿宋_GB2312" w:cs="仿宋_GB2312"/>
          <w:kern w:val="0"/>
          <w:sz w:val="32"/>
          <w:szCs w:val="32"/>
          <w:highlight w:val="none"/>
        </w:rPr>
      </w:pPr>
      <w:r>
        <w:rPr>
          <w:rFonts w:hint="eastAsia" w:ascii="仿宋_GB2312" w:hAnsi="仿宋_GB2312" w:eastAsia="仿宋_GB2312" w:cs="仿宋_GB2312"/>
          <w:b/>
          <w:sz w:val="32"/>
          <w:szCs w:val="32"/>
          <w:highlight w:val="none"/>
        </w:rPr>
        <w:t>（</w:t>
      </w:r>
      <w:r>
        <w:rPr>
          <w:rFonts w:hint="eastAsia" w:ascii="仿宋_GB2312" w:hAnsi="仿宋_GB2312" w:eastAsia="仿宋_GB2312" w:cs="仿宋_GB2312"/>
          <w:b/>
          <w:sz w:val="32"/>
          <w:szCs w:val="32"/>
          <w:highlight w:val="none"/>
          <w:lang w:eastAsia="zh-CN"/>
        </w:rPr>
        <w:t>三</w:t>
      </w:r>
      <w:r>
        <w:rPr>
          <w:rFonts w:hint="eastAsia" w:ascii="仿宋_GB2312" w:hAnsi="仿宋_GB2312" w:eastAsia="仿宋_GB2312" w:cs="仿宋_GB2312"/>
          <w:b/>
          <w:sz w:val="32"/>
          <w:szCs w:val="32"/>
          <w:highlight w:val="none"/>
        </w:rPr>
        <w:t>）债务收支项目情况</w:t>
      </w:r>
    </w:p>
    <w:p w14:paraId="48B58F6D">
      <w:pPr>
        <w:spacing w:line="592" w:lineRule="exact"/>
        <w:ind w:firstLine="640" w:firstLineChars="200"/>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鹿邑县发展和改革委员会2024年没有债务收入支出项目安排。</w:t>
      </w:r>
    </w:p>
    <w:p w14:paraId="33A453B7">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jc w:val="both"/>
        <w:textAlignment w:val="auto"/>
        <w:rPr>
          <w:rFonts w:hint="eastAsia" w:ascii="仿宋_GB2312" w:hAnsi="Calibri" w:eastAsia="仿宋_GB2312" w:cs="Times New Roman"/>
          <w:snapToGrid/>
          <w:kern w:val="2"/>
          <w:sz w:val="32"/>
          <w:szCs w:val="32"/>
          <w:highlight w:val="none"/>
          <w:lang w:val="en-US" w:eastAsia="zh-CN" w:bidi="ar-SA"/>
        </w:rPr>
      </w:pPr>
    </w:p>
    <w:p w14:paraId="182601C1">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jc w:val="both"/>
        <w:textAlignment w:val="auto"/>
        <w:rPr>
          <w:rFonts w:hint="eastAsia" w:ascii="仿宋_GB2312" w:hAnsi="Calibri" w:eastAsia="仿宋_GB2312" w:cs="Times New Roman"/>
          <w:snapToGrid/>
          <w:kern w:val="2"/>
          <w:sz w:val="32"/>
          <w:szCs w:val="32"/>
          <w:highlight w:val="none"/>
          <w:lang w:val="en-US" w:eastAsia="zh-CN" w:bidi="ar-SA"/>
        </w:rPr>
      </w:pPr>
    </w:p>
    <w:p w14:paraId="41282F2A">
      <w:pPr>
        <w:rPr>
          <w:rFonts w:hint="eastAsia" w:ascii="仿宋_GB2312" w:hAnsi="Calibri" w:eastAsia="仿宋_GB2312" w:cs="Times New Roman"/>
          <w:snapToGrid/>
          <w:kern w:val="2"/>
          <w:sz w:val="32"/>
          <w:szCs w:val="32"/>
          <w:highlight w:val="none"/>
          <w:lang w:val="en-US" w:eastAsia="zh-CN" w:bidi="ar-SA"/>
        </w:rPr>
      </w:pPr>
      <w:r>
        <w:rPr>
          <w:rFonts w:hint="eastAsia" w:ascii="仿宋_GB2312" w:hAnsi="Calibri" w:eastAsia="仿宋_GB2312" w:cs="Times New Roman"/>
          <w:snapToGrid/>
          <w:kern w:val="2"/>
          <w:sz w:val="32"/>
          <w:szCs w:val="32"/>
          <w:highlight w:val="none"/>
          <w:lang w:val="en-US" w:eastAsia="zh-CN" w:bidi="ar-SA"/>
        </w:rPr>
        <w:br w:type="page"/>
      </w:r>
    </w:p>
    <w:p w14:paraId="19B14F57">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6981FFA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289AADA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005F087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16842AF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67BC8D1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22D8BDA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E2C029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C31305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113A555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711B3EA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2DD531D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245DB8C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38BBBC8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089C056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附件：鹿邑县发展和改革委员会2024年度单位预算表</w:t>
      </w:r>
    </w:p>
    <w:p w14:paraId="2EF606A2">
      <w:pPr>
        <w:rPr>
          <w:rFonts w:hint="eastAsia" w:ascii="仿宋_GB2312" w:hAnsi="Calibri" w:eastAsia="仿宋_GB2312" w:cs="Times New Roman"/>
          <w:snapToGrid/>
          <w:kern w:val="2"/>
          <w:sz w:val="32"/>
          <w:szCs w:val="32"/>
          <w:highlight w:val="none"/>
          <w:lang w:val="en-US" w:eastAsia="zh-CN" w:bidi="ar-SA"/>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CE6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E90FE3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PUeTWkAAgAACQQAAA4AAAAAAAAAAQAgAAAAHwEAAGRycy9lMm9Eb2Mu&#10;eG1sUEsFBgAAAAAGAAYAWQEAAJEFAAAAAA==&#10;">
              <v:fill on="f" focussize="0,0"/>
              <v:stroke on="f"/>
              <v:imagedata o:title=""/>
              <o:lock v:ext="edit" aspectratio="f"/>
              <v:textbox inset="0mm,0mm,0mm,0mm" style="mso-fit-shape-to-text:t;">
                <w:txbxContent>
                  <w:p w14:paraId="1E90FE38">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14CB6B16"/>
    <w:rsid w:val="18062F56"/>
    <w:rsid w:val="3B8F00C6"/>
    <w:rsid w:val="768F3BD4"/>
    <w:rsid w:val="7B651306"/>
    <w:rsid w:val="7EC637A4"/>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6158;&#21551;&#32418;\Desktop\&#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36158;&#21551;&#32418;\Desktop\&#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6158;&#21551;&#32418;\Desktop\&#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6158;&#21551;&#32418;\Desktop\&#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6158;&#21551;&#32418;\Desktop\&#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jcl\Desktop\&#40575;&#37009;&#39044;&#31639;&#20844;&#24320;&#22270;&#34920;&#27169;&#26495;(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jcl\Desktop\&#40575;&#37009;&#39044;&#31639;&#20844;&#24320;&#22270;&#34920;&#27169;&#26495;(1).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36158;&#21551;&#32418;\Desktop\&#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2552.01</c:v>
                </c:pt>
                <c:pt idx="1" c:formatCode="#.00&quot;万&quot;&quot;元&quot;">
                  <c:v>832.94</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0467396208531088"/>
                  <c:y val="-0.025850235055586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0763023721117833"/>
                  <c:y val="-0.10454059730214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65368732057424"/>
                  <c:y val="0.68759896815639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9716460202095"/>
                  <c:y val="0.4334541013651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国有资本经营预算</c:v>
                </c:pt>
              </c:strCache>
            </c:strRef>
          </c:cat>
          <c:val>
            <c:numRef>
              <c:f>[鹿邑预算公开图表模板.xlsx]Sheet1!$D$21:$G$21</c:f>
              <c:numCache>
                <c:formatCode>#.00"万""元"</c:formatCode>
                <c:ptCount val="4"/>
                <c:pt idx="0">
                  <c:v>1834.37</c:v>
                </c:pt>
                <c:pt idx="1">
                  <c:v>717.64</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157894736842105"/>
                  <c:y val="-0.03009259259259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457.06</c:v>
                </c:pt>
                <c:pt idx="1">
                  <c:v>2094.95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0.00_ </c:formatCode>
                <c:ptCount val="2"/>
                <c:pt idx="0">
                  <c:v>2552.01</c:v>
                </c:pt>
                <c:pt idx="1" c:formatCode="#.00&quot;万&quot;&quot;元&quot;">
                  <c:v>832.94</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6267897765288"/>
          <c:y val="0.171954022988506"/>
          <c:w val="0.844292787367858"/>
          <c:h val="0.71365517241379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tx>
            <c:strRef>
              <c:f>'[鹿邑预算公开图表模板(1).xlsx]Sheet1'!$E$103</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dLbl>
              <c:idx val="0"/>
              <c:layout>
                <c:manualLayout>
                  <c:x val="0.33324971068836"/>
                  <c:y val="-0.1378335455583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230847987094522"/>
                  <c:y val="0.15078268638374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2"/>
              <c:layout>
                <c:manualLayout>
                  <c:x val="0.155745598755466"/>
                  <c:y val="0.2618488276339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3"/>
              <c:layout>
                <c:manualLayout>
                  <c:x val="-0.24581980179514"/>
                  <c:y val="-0.07903474170658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4"/>
              <c:layout>
                <c:manualLayout>
                  <c:x val="-0.247042678965831"/>
                  <c:y val="0.024717053549975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'[鹿邑预算公开图表模板(1).xlsx]Sheet1'!$D$104:$D$111</c:f>
              <c:strCache>
                <c:ptCount val="8"/>
                <c:pt idx="0">
                  <c:v>社会保障和就业支出</c:v>
                </c:pt>
                <c:pt idx="1">
                  <c:v>卫生健康支出</c:v>
                </c:pt>
                <c:pt idx="2">
                  <c:v>住房保障支出</c:v>
                </c:pt>
                <c:pt idx="3">
                  <c:v>一般公共服务支出</c:v>
                </c:pt>
              </c:strCache>
            </c:strRef>
          </c:cat>
          <c:val>
            <c:numRef>
              <c:f>'[鹿邑预算公开图表模板(1).xlsx]Sheet1'!$E$104:$E$111</c:f>
              <c:numCache>
                <c:formatCode>#.00"万""元"</c:formatCode>
                <c:ptCount val="8"/>
                <c:pt idx="0">
                  <c:v>45.89</c:v>
                </c:pt>
                <c:pt idx="1">
                  <c:v>26.66</c:v>
                </c:pt>
                <c:pt idx="2">
                  <c:v>30.03</c:v>
                </c:pt>
                <c:pt idx="3">
                  <c:v>615.05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'[鹿邑预算公开图表模板(1).xlsx]Sheet1'!$D$128:$D$129</c:f>
              <c:strCache>
                <c:ptCount val="2"/>
                <c:pt idx="0">
                  <c:v>人员经费</c:v>
                </c:pt>
                <c:pt idx="1">
                  <c:v>公用经费</c:v>
                </c:pt>
              </c:strCache>
            </c:strRef>
          </c:cat>
          <c:val>
            <c:numRef>
              <c:f>'[鹿邑预算公开图表模板(1).xlsx]Sheet1'!$E$128:$E$129</c:f>
              <c:numCache>
                <c:formatCode>#.00"万""元"</c:formatCode>
                <c:ptCount val="2"/>
                <c:pt idx="0">
                  <c:v>417.7</c:v>
                </c:pt>
                <c:pt idx="1" c:formatCode="#0.00&quot;万&quot;&quot;元&quot;">
                  <c:v>39.36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19</c:v>
                </c:pt>
                <c:pt idx="1">
                  <c:v>19</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2519f-104a-4d3e-a18a-d92758d94dcb}">
  <ds:schemaRefs/>
</ds:datastoreItem>
</file>

<file path=customXml/itemProps3.xml><?xml version="1.0" encoding="utf-8"?>
<ds:datastoreItem xmlns:ds="http://schemas.openxmlformats.org/officeDocument/2006/customXml" ds:itemID="{5e0160e7-07ae-4d0f-90cc-2aa363f0ad4b}">
  <ds:schemaRefs/>
</ds:datastoreItem>
</file>

<file path=customXml/itemProps4.xml><?xml version="1.0" encoding="utf-8"?>
<ds:datastoreItem xmlns:ds="http://schemas.openxmlformats.org/officeDocument/2006/customXml" ds:itemID="{65037197-c379-488a-846c-f638e45c819d}">
  <ds:schemaRefs/>
</ds:datastoreItem>
</file>

<file path=docProps/app.xml><?xml version="1.0" encoding="utf-8"?>
<Properties xmlns="http://schemas.openxmlformats.org/officeDocument/2006/extended-properties" xmlns:vt="http://schemas.openxmlformats.org/officeDocument/2006/docPropsVTypes">
  <Pages>18</Pages>
  <Words>5526</Words>
  <Characters>6228</Characters>
  <TotalTime>2</TotalTime>
  <ScaleCrop>false</ScaleCrop>
  <LinksUpToDate>false</LinksUpToDate>
  <CharactersWithSpaces>6237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2024-08-19T10:26:06Z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BF76CD38DD77498BB7F6815533CCD939_13</vt:lpwstr>
  </property>
</Properties>
</file>