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8508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CF39D9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5DAF0C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01E70C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1B6F1B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4461F5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A05886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BA4DD2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893C97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鹿邑县供销合作社联合社</w:t>
      </w:r>
    </w:p>
    <w:p w14:paraId="3B7739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7D67BD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43F23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C848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21FFD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D106E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8998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58E85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C4B90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560ABC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2C1E0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390637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鹿邑县供销合作社联合社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11BE1C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7EE1EA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386CE2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鹿邑县供销合作社联合社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331369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第三部分名词解释</w:t>
      </w:r>
    </w:p>
    <w:p w14:paraId="546A40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鹿邑县供销合作社联合社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394C1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297E51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2E3FAD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13512E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5DF4DA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7EEE61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0B4404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60031F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4FAF9F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6319A7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663D51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606320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005809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77EAF0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3CA443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13254D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67617F8B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44569B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鹿邑县供销合作社联合社概况</w:t>
      </w:r>
    </w:p>
    <w:p w14:paraId="77AB2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57F037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70DF7477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鹿邑县供销合作社联合社是主管全县供销社的主管部门，内设5个职能科室：办公室、政工股、财务股、业务股、计保股，所属事业单位0个。</w:t>
      </w:r>
    </w:p>
    <w:p w14:paraId="509D81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部门职责</w:t>
      </w:r>
    </w:p>
    <w:p w14:paraId="74CF16BB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1、贯彻落实中央、省、市、县有关农村经济工作和供销合作社发展的方针、政策，参与研究和实施农村经济改革发展规划，研究制定全县合作经济发展规划，促进全县合作经济的发展。</w:t>
      </w:r>
    </w:p>
    <w:p w14:paraId="600CC43F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2、指导全县供销社的改革发展，负责县本级合作经济发展和社有企业的改革发展稳定。</w:t>
      </w:r>
    </w:p>
    <w:p w14:paraId="7FD55F5C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3、指导和管理全县供销社系统开展农村合作金融服务工作，为“三农”提供融资平台，促进农村经济发展。</w:t>
      </w:r>
    </w:p>
    <w:p w14:paraId="35B03021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4、指导全县供销合作社的组织体系建设，促进基层社加强民主管理，负责农村合作经济的指导、服务和协调，推动多种形式的经济合作与联合，发挥群体联合优势。</w:t>
      </w:r>
    </w:p>
    <w:p w14:paraId="5555FFAC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5、在全县农村建设现代流通服务网络体系，培育农业生产资料、日用消费品、农副产品、再生资源回收利用、烟花爆竹五大经营服务网络。</w:t>
      </w:r>
    </w:p>
    <w:p w14:paraId="690F1E4D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指导和推动全县新型合作经济组织建设。发展各类专业合作社、专业合作社联合社和消费合作社，推动合作经济向农业产业化经营全程和城乡社会化服务全方位拓展，开拓日用消费品“进村入户”和农产品“进城入超”的城乡大流通市场格局，发展农产品电子商务等现代流通业态。</w:t>
      </w:r>
    </w:p>
    <w:p w14:paraId="0E356A82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7、负责管理运营本级社有资产，对基层企业行使出资人的职能，监督指导全县各基层社有资产的管理经营。</w:t>
      </w:r>
    </w:p>
    <w:p w14:paraId="726E558E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8、负责供销社人才队伍建设和干部职工培训教育，为全县各类新型合作经济组织和网点提供人才培育、政策咨询和技术服务。</w:t>
      </w:r>
    </w:p>
    <w:p w14:paraId="0F40F4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2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9、负责县级供销社党政建设，</w:t>
      </w:r>
      <w:r>
        <w:rPr>
          <w:rFonts w:hint="eastAsia" w:ascii="仿宋_GB2312" w:eastAsia="仿宋_GB2312"/>
          <w:sz w:val="32"/>
          <w:szCs w:val="32"/>
        </w:rPr>
        <w:t>党风廉政建设和精神文明建设以及安全生产、信访稳定工作。</w:t>
      </w:r>
    </w:p>
    <w:p w14:paraId="0B56D1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2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10、完成县委、县政府交办的其他工作。</w:t>
      </w:r>
    </w:p>
    <w:p w14:paraId="16FED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72272D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纳入本部门2024年度部门预算编制范围的单位共一个：鹿邑县供销合作社联合社本级，无二级预算单位。</w:t>
      </w:r>
    </w:p>
    <w:p w14:paraId="56E789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235AF938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1A1B3B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鹿邑县供销合作社联合社2024年部门预算情况说明</w:t>
      </w:r>
    </w:p>
    <w:p w14:paraId="5E2EA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651B5D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鹿邑县供销合作社联合社2024年收入总计645.97万元，支出总计645.97万元，与2023年预算相比，收、支总计增加108.40万元，增长20.16%，主要原因是：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3CE0CD7">
      <w:pPr>
        <w:pStyle w:val="2"/>
        <w:rPr>
          <w:rFonts w:hint="eastAsia"/>
          <w:lang w:val="en-US" w:eastAsia="zh-CN"/>
        </w:rPr>
      </w:pPr>
    </w:p>
    <w:p w14:paraId="53940676">
      <w:pPr>
        <w:pStyle w:val="2"/>
        <w:jc w:val="center"/>
      </w:pPr>
      <w:r>
        <w:drawing>
          <wp:inline distT="0" distB="0" distL="114300" distR="114300">
            <wp:extent cx="4734560" cy="28194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78D9B9">
      <w:pPr>
        <w:pStyle w:val="2"/>
        <w:jc w:val="center"/>
        <w:rPr>
          <w:rFonts w:hint="eastAsia"/>
          <w:lang w:val="en-US" w:eastAsia="zh-CN"/>
        </w:rPr>
      </w:pPr>
    </w:p>
    <w:p w14:paraId="7AB8F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156A6F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鹿邑县供销合作社联合社2024年收入合计645.97万元，其中：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501.84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144.13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A5739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1838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D87A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637EE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779CCE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鹿邑县供销合作社联合社2024年支出合计645.97万元，其中：基本支出434.60万元，占67.28%；项目支出211.37万元，占32.72%。</w:t>
      </w:r>
    </w:p>
    <w:p w14:paraId="7D3AF47F">
      <w:pPr>
        <w:pStyle w:val="2"/>
        <w:rPr>
          <w:rFonts w:hint="eastAsia"/>
          <w:lang w:val="en-US" w:eastAsia="zh-CN"/>
        </w:rPr>
      </w:pPr>
    </w:p>
    <w:p w14:paraId="66D239A3"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3430270"/>
            <wp:effectExtent l="4445" t="4445" r="15875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551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7EACE5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鹿邑县供销合作社联合社2024年一般公共预算收支预算645.97万元，政府性基金收支预算0.00万元，国有资本经营预算0.00万元。与2023年相比，一般公共预算收支预算增加108.40万元，增长20.16%，主要原因是：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FE9DB40">
      <w:pPr>
        <w:pStyle w:val="2"/>
        <w:rPr>
          <w:rFonts w:hint="eastAsia"/>
          <w:lang w:val="en-US" w:eastAsia="zh-CN"/>
        </w:rPr>
      </w:pPr>
    </w:p>
    <w:p w14:paraId="373ADD11">
      <w:pPr>
        <w:pStyle w:val="2"/>
        <w:jc w:val="center"/>
      </w:pPr>
      <w:r>
        <w:drawing>
          <wp:inline distT="0" distB="0" distL="114300" distR="114300">
            <wp:extent cx="4734560" cy="28244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EE5F93">
      <w:pPr>
        <w:pStyle w:val="2"/>
        <w:jc w:val="center"/>
        <w:rPr>
          <w:rFonts w:hint="eastAsia"/>
          <w:lang w:val="en-US" w:eastAsia="zh-CN"/>
        </w:rPr>
      </w:pPr>
    </w:p>
    <w:p w14:paraId="44A2E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2A914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鹿邑县供销合作社联合社2024年一般公共预算支出年初预算为501.84万元。其中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基本支出434.60万元，占86.60%；项目支出67.24万元，占13.40%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55242B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商业服务业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368.42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73.41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%。其中：商业流通事务（款）行政运行（项）支出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368.42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</w:t>
      </w:r>
    </w:p>
    <w:p w14:paraId="2FB5F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%。其中：行政事业单位养老支出（款）机关事业单位基本养老保险缴费（项）支出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万元；其他社会保障和就业支出（款）其他社会保障和就业支出（项）支出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 w14:paraId="5FB2D7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政事业单位医疗（款）行政单位医疗（项）支出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政事业单位医疗（款）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单位医疗（项）支出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万元；行政事业单位医疗（款）其他行政事业单位医疗支出（项）支出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B9814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房改革支出（款）住房公积金（项）支出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 w14:paraId="5112DEA7">
      <w:pPr>
        <w:pStyle w:val="2"/>
        <w:rPr>
          <w:rFonts w:hint="eastAsia"/>
        </w:rPr>
      </w:pPr>
    </w:p>
    <w:p w14:paraId="34C13D74">
      <w:pPr>
        <w:pStyle w:val="2"/>
        <w:jc w:val="center"/>
      </w:pPr>
      <w:r>
        <w:drawing>
          <wp:inline distT="0" distB="0" distL="114300" distR="114300">
            <wp:extent cx="4876800" cy="33235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EA25AF1">
      <w:pPr>
        <w:pStyle w:val="2"/>
        <w:jc w:val="center"/>
        <w:rPr>
          <w:rFonts w:hint="eastAsia"/>
          <w:lang w:val="en-US" w:eastAsia="zh-CN"/>
        </w:rPr>
      </w:pPr>
    </w:p>
    <w:p w14:paraId="1854B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4EF915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鹿邑县供销合作社联合社2024年一般公共预算基本支出年初预算为434.60万元，其中：人员经费支出414.33万元，占95.34%；公用经费支出20.27万元，占4.66%。</w:t>
      </w:r>
    </w:p>
    <w:p w14:paraId="7AC1D91F">
      <w:pPr>
        <w:pStyle w:val="2"/>
        <w:rPr>
          <w:rFonts w:hint="eastAsia"/>
          <w:lang w:val="en-US" w:eastAsia="zh-CN"/>
        </w:rPr>
      </w:pPr>
    </w:p>
    <w:p w14:paraId="2F60CBA5">
      <w:pPr>
        <w:pStyle w:val="2"/>
        <w:jc w:val="center"/>
      </w:pPr>
      <w:r>
        <w:drawing>
          <wp:inline distT="0" distB="0" distL="114300" distR="114300">
            <wp:extent cx="4963795" cy="3309620"/>
            <wp:effectExtent l="4445" t="4445" r="10160" b="1333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4841F0">
      <w:pPr>
        <w:pStyle w:val="2"/>
        <w:jc w:val="center"/>
        <w:rPr>
          <w:rFonts w:hint="eastAsia"/>
          <w:lang w:val="en-US" w:eastAsia="zh-CN"/>
        </w:rPr>
      </w:pPr>
    </w:p>
    <w:p w14:paraId="23F800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73F7B3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供销合作社联合社2024年一般公共预算基本支出年初预算为434.60万元，其中：人员经费支出414.33万元，占95.34%；主要包括：基本工资165.98万元、津贴补贴43.77万元、奖金36.55万元、绩效工资22.60万元、机关事业单位基本养老保险缴费49.95万元、医疗保险缴费19.79万元、其他社会保障缴费17.66万元、住房公积金39.21万元、退休费12.01万元、生活补助6.81万元。公用经费支出20.27万元，占4.66%。主要包括：办公费5.70万元、其他交通费用14.57万元。</w:t>
      </w:r>
    </w:p>
    <w:p w14:paraId="515EE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744993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鹿邑县供销合作社联合社2024年机构运行经费支出预算20.27万元，主要保障机关机构正常运转及正常履职需要的办公费、水电费、物业费、维修费、差旅费等支出，与2023年相比增加0.47万元，增加2.37%，主要原因：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*****************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69B2A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5472AC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供销合作社联合社2024年预算支出645.97万元，其中：301工资福利支出472.93万元，主要包括：基本工资200.25万元、津贴补贴45.11万元、奖金40.02万元、绩效工资22.60万元、基本养老保险缴费58.45万元、医疗保险缴费19.79万元、其他社会保障缴费17.66万元、住房公积金39.21万元、其他工资福利性支出29.84万元；302商品和服务支出81.40万元，主要包括：办公费56.43万元、租赁费10.40万元、其他交通费用14.57万元；303对个人和家庭的补助支出24.59万元，主要包括：生活补助7.95万元、退休费16.64万元；312对企业的补助67.05万元，主要包括：其他对企业的补助67.05万元。</w:t>
      </w:r>
    </w:p>
    <w:p w14:paraId="5EC72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59F0F7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鹿邑县供销合作社联合社2024年“三公”经费预算为0.00万元。2024年“三公”经费支出预算数较2023年持平。</w:t>
      </w:r>
    </w:p>
    <w:p w14:paraId="779881B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63550E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3F36B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D3701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42FA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4E0F46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鹿邑县供销合作社联合社2024年无政府性基金预算拨款安排的支出。</w:t>
      </w:r>
    </w:p>
    <w:p w14:paraId="2FC94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7F783B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鹿邑县供销合作社联合社2024年无国有资本经营预算拨款安排的支出。</w:t>
      </w:r>
    </w:p>
    <w:p w14:paraId="01AF4B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5AB07F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鹿邑县供销合作社联合社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政府采购预算安排0.00万元，其中：政府采购货物预算0.00万元、政府采购工程预算0.00万元、政府采购服务预算0.00万元。</w:t>
      </w:r>
    </w:p>
    <w:p w14:paraId="6AE7C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51C935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鹿邑县供销合作社联合社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645.97万元，其中：人员经费支出414.33万元，公用经费支出20.27万元，项目支出总额211.37万元。支出项目共21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2E09F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4CE84A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1E4964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年期末，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鹿邑县供销合作社联合社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固定资产总额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万元，其中：房屋建筑物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万元，车辆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万元，办公设备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专用设备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。车辆共有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其中：一般公务用车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辆，执法执勤车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</w:t>
      </w:r>
      <w:r>
        <w:rPr>
          <w:rFonts w:hint="eastAsia" w:ascii="仿宋" w:hAnsi="仿宋" w:eastAsia="仿宋" w:cs="仿宋"/>
          <w:sz w:val="32"/>
          <w:szCs w:val="32"/>
        </w:rPr>
        <w:t>其他用车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单价50万元以上通用设备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台（套），单位价值100万元以上专用设备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台（套）。</w:t>
      </w:r>
    </w:p>
    <w:p w14:paraId="587F79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04731B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供销合作社联合社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25E8CA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740652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鹿邑县供销合作社联合社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年没有债务收入支出项目安排。</w:t>
      </w:r>
    </w:p>
    <w:p w14:paraId="638463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68E33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71D0AAD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2C1B8C8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31059C2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607C23E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186C1BF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266993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3AACE7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1D4C45E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3FA80BC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720E2E9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7BD4802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088D8D6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6136BAE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1E748E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附件：鹿邑县供销合作社联合社2024年度部门预算表</w:t>
      </w:r>
      <w:bookmarkStart w:id="0" w:name="_GoBack"/>
      <w:bookmarkEnd w:id="0"/>
    </w:p>
    <w:p w14:paraId="50472F92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E9D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54AC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1uVLQAAAABQEAAA8AAAAAAAAAAQAgAAAAIgAAAGRycy9kb3ducmV2Lnht&#10;bFBLAQIUABQAAAAIAIdO4kAL0gXTAQIAAAo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E54AC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69B83"/>
    <w:multiLevelType w:val="singleLevel"/>
    <w:tmpl w:val="A5469B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83A6B47"/>
    <w:rsid w:val="20FF0DFC"/>
    <w:rsid w:val="25DB795E"/>
    <w:rsid w:val="31C13D18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72961373391"/>
          <c:y val="0.171621621621622"/>
          <c:w val="0.867811158798283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645.97</c:v>
                </c:pt>
                <c:pt idx="1" c:formatCode="#.00&quot;万&quot;&quot;元&quot;">
                  <c:v>537.57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>
        <c:manualLayout>
          <c:xMode val="edge"/>
          <c:yMode val="edge"/>
          <c:x val="0.408798283261803"/>
          <c:y val="0.0059832469086557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43164234821826"/>
                  <c:y val="-0.0014098412609957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19987239016175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5436468406992"/>
                  <c:y val="-0.076424887935268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9446821999018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1981627724747"/>
                  <c:y val="0.052652572796170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政府性基金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0.00%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1911384684888"/>
                      <c:h val="0.160164271047228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[鹿邑预算公开图表模板.xlsx]Sheet1!$D$20:$F$20</c:f>
              <c:strCache>
                <c:ptCount val="3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</c:strCache>
            </c:strRef>
          </c:cat>
          <c:val>
            <c:numRef>
              <c:f>[鹿邑预算公开图表模板.xlsx]Sheet1!$D$21:$F$21</c:f>
              <c:numCache>
                <c:formatCode>#.00"万""元"</c:formatCode>
                <c:ptCount val="3"/>
                <c:pt idx="0">
                  <c:v>144.13</c:v>
                </c:pt>
                <c:pt idx="1">
                  <c:v>501.84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0096295315935"/>
                  <c:y val="0.053313587560162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96917724067039"/>
                  <c:y val="-0.097741577193632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434.6</c:v>
                </c:pt>
                <c:pt idx="1">
                  <c:v>211.37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645.97</c:v>
                </c:pt>
                <c:pt idx="1">
                  <c:v>537.57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0870043885912"/>
                  <c:y val="-0.060538131741004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35651318558727"/>
                  <c:y val="0.016750790440820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8987335526316"/>
                      <c:h val="0.24319002321979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90963545821392"/>
                  <c:y val="-0.079066889128860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0488157894737"/>
                      <c:h val="0.1635588073447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13215226807294"/>
                  <c:y val="0.064237205177849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05375"/>
                      <c:h val="0.17788819213649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09375"/>
                  <c:y val="0.20237762575584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84375"/>
                  <c:y val="-0.23379152815476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商业服务业等支出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368.42</c:v>
                </c:pt>
                <c:pt idx="1">
                  <c:v>58.94</c:v>
                </c:pt>
                <c:pt idx="2">
                  <c:v>35.27</c:v>
                </c:pt>
                <c:pt idx="3">
                  <c:v>39.21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479166666667"/>
          <c:y val="0.87237294612151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95000888102337"/>
                  <c:y val="-9.01203628391724e-1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348998150324641"/>
                  <c:y val="-0.014414742369745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414.33</c:v>
                </c:pt>
                <c:pt idx="1">
                  <c:v>20.27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4a830-4bc5-4700-9855-e5548ccdb922}">
  <ds:schemaRefs/>
</ds:datastoreItem>
</file>

<file path=customXml/itemProps3.xml><?xml version="1.0" encoding="utf-8"?>
<ds:datastoreItem xmlns:ds="http://schemas.openxmlformats.org/officeDocument/2006/customXml" ds:itemID="{85873a1a-5861-437a-95ff-414b0de83f6c}">
  <ds:schemaRefs/>
</ds:datastoreItem>
</file>

<file path=customXml/itemProps4.xml><?xml version="1.0" encoding="utf-8"?>
<ds:datastoreItem xmlns:ds="http://schemas.openxmlformats.org/officeDocument/2006/customXml" ds:itemID="{1e55c900-aadf-4f56-9920-29528a68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4396</Words>
  <Characters>5079</Characters>
  <TotalTime>13</TotalTime>
  <ScaleCrop>false</ScaleCrop>
  <LinksUpToDate>false</LinksUpToDate>
  <CharactersWithSpaces>5081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2024-08-18T10:23:27Z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