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8DCC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2CD5F0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15ABD5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0BA5D0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332426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793F98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398B7F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26B964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B67434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鹿邑县科学技术协会</w:t>
      </w:r>
    </w:p>
    <w:p w14:paraId="2423E38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582D5D4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C9CA74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CA79E6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018040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28DA21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ED0A53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608678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30E5F1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4A39398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7811A0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5F5C324B">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鹿邑县科学技术协会</w:t>
      </w:r>
      <w:r>
        <w:rPr>
          <w:rFonts w:ascii="黑体" w:hAnsi="黑体" w:eastAsia="黑体" w:cs="黑体"/>
          <w:spacing w:val="11"/>
          <w:sz w:val="31"/>
          <w:szCs w:val="31"/>
          <w:highlight w:val="none"/>
        </w:rPr>
        <w:t>概况</w:t>
      </w:r>
    </w:p>
    <w:p w14:paraId="0874A7D5">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2EFBE0E0">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5FBA6E42">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鹿邑县科学技术协会</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18C3B1E1">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54EA457C">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鹿邑县科学技术协会</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205EC830">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3F60878F">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27C46150">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5D55D196">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62B66FB1">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4D15C858">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15807416">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43C1CD3A">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1076A704">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25EAF452">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48054386">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430674FF">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578F0787">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3DD9C358">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608387C1">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28A0F7D3">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预算项目绩效目标表</w:t>
      </w:r>
    </w:p>
    <w:p w14:paraId="76EC7B8F">
      <w:pPr>
        <w:rPr>
          <w:rFonts w:hint="eastAsia" w:ascii="仿宋" w:hAnsi="仿宋" w:eastAsia="仿宋" w:cs="仿宋"/>
          <w:spacing w:val="8"/>
          <w:sz w:val="31"/>
          <w:szCs w:val="31"/>
          <w:highlight w:val="none"/>
          <w:lang w:val="en-US" w:eastAsia="zh-CN"/>
        </w:rPr>
      </w:pPr>
      <w:r>
        <w:br w:type="page"/>
      </w:r>
    </w:p>
    <w:p w14:paraId="4E97CD43">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鹿邑县科学技术协会概况</w:t>
      </w:r>
    </w:p>
    <w:p w14:paraId="509276B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688AF71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4ABAE58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是主管全县科技推广、技术更新、种植养殖基地建设、培训科技人才、全县科普素质能力提升等工作的主管部门，机构规格为正科级，内设股室4个，分别是办公室、科普部、青少年部、学会部。</w:t>
      </w:r>
    </w:p>
    <w:p w14:paraId="0F937A85">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38179631">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1.开展学术交流，活跃学术思想，促进科学发展。</w:t>
      </w:r>
    </w:p>
    <w:p w14:paraId="7DAF5795">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2.弘扬科学精神，普及科学知识，传播科学思想和科学方法;破除迷信，反对邪教，捍卫科学尊严，提高全民族科学文化素质。</w:t>
      </w:r>
    </w:p>
    <w:p w14:paraId="1E022428">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3.反映科技工作者的意见和要求，维护科技工作者的合法权益;发挥科技工作者之家的作用，组织科技工作者参与科技政策，法规制定和政府事务的政治协商、科学决策、民主监督工作。</w:t>
      </w:r>
    </w:p>
    <w:p w14:paraId="234BB010">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4.表彰奖励优秀科技工作者，举荐人才。</w:t>
      </w:r>
    </w:p>
    <w:p w14:paraId="5735B2E8">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5.开展继续教育和实用技术培训。</w:t>
      </w:r>
    </w:p>
    <w:p w14:paraId="66ECB9EE">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6.开展科学论证、咨询服务，提出政策建议，促进科学技术成果的转化。</w:t>
      </w:r>
    </w:p>
    <w:p w14:paraId="1AA64D4F">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7.开展民间国际科学技术交流活动，发展同国外的国外</w:t>
      </w:r>
    </w:p>
    <w:p w14:paraId="7851327B">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的科学技术团体和科学技术载作者的友好交往。</w:t>
      </w:r>
    </w:p>
    <w:p w14:paraId="0614C8AF">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8.开展青少年科技教育活动负责全县中学生奥林匹克学科竞赛管理委员会日常工作。</w:t>
      </w:r>
    </w:p>
    <w:p w14:paraId="668F9FCF">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9.编辑出版科普书、报、刊。</w:t>
      </w:r>
    </w:p>
    <w:p w14:paraId="4A9217AE">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10.研究制定多渠道增加科普投入的措施，统一管理使用全县科普专项经费，负责鹿邑县科技馆等科普、学术活动基础设施建设。</w:t>
      </w:r>
    </w:p>
    <w:p w14:paraId="3B0E774E">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11.管理所属县级学会，指导乡镇企业科协业务工作。</w:t>
      </w:r>
    </w:p>
    <w:p w14:paraId="6BF810AD">
      <w:pPr>
        <w:keepNext w:val="0"/>
        <w:keepLines w:val="0"/>
        <w:pageBreakBefore w:val="0"/>
        <w:wordWrap/>
        <w:topLinePunct w:val="0"/>
        <w:autoSpaceDE w:val="0"/>
        <w:autoSpaceDN w:val="0"/>
        <w:bidi w:val="0"/>
        <w:adjustRightInd w:val="0"/>
        <w:spacing w:line="600" w:lineRule="exact"/>
        <w:ind w:left="0" w:right="0" w:righ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12.承办县委，县政府交办的其它事项。</w:t>
      </w:r>
    </w:p>
    <w:p w14:paraId="1363963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5360566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纳入本部门2024年度部门预算编制范围的单位共一个：鹿邑县科学技术协会本级，无二级预算单位。</w:t>
      </w:r>
    </w:p>
    <w:p w14:paraId="4D21768C">
      <w:pPr>
        <w:spacing w:line="592" w:lineRule="exact"/>
        <w:ind w:firstLine="640" w:firstLineChars="200"/>
        <w:rPr>
          <w:rFonts w:hint="eastAsia" w:ascii="仿宋_GB2312" w:hAnsi="仿宋_GB2312" w:eastAsia="仿宋_GB2312" w:cs="仿宋_GB2312"/>
          <w:sz w:val="32"/>
          <w:szCs w:val="32"/>
          <w:lang w:eastAsia="zh-CN"/>
        </w:rPr>
      </w:pPr>
    </w:p>
    <w:p w14:paraId="407E8D4D">
      <w:pPr>
        <w:pStyle w:val="2"/>
        <w:rPr>
          <w:rFonts w:hint="eastAsia" w:ascii="仿宋_GB2312" w:hAnsi="仿宋_GB2312" w:eastAsia="仿宋_GB2312" w:cs="仿宋_GB2312"/>
          <w:sz w:val="32"/>
          <w:szCs w:val="32"/>
          <w:lang w:eastAsia="zh-CN"/>
        </w:rPr>
      </w:pPr>
    </w:p>
    <w:p w14:paraId="27067943">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16145496">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4FDF5600">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鹿邑县科学技术协会2024年部门预算情况说明</w:t>
      </w:r>
    </w:p>
    <w:p w14:paraId="2D927C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4EA9600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鹿邑县科学技术协会2024年收入总计456.86万元，支出总计456.86万元，与2023年预算相比，收、支总计减少103.60万元，下降18.48%，主要原因是：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DA88921">
      <w:pPr>
        <w:pStyle w:val="2"/>
        <w:rPr>
          <w:rFonts w:hint="eastAsia"/>
          <w:lang w:val="en-US" w:eastAsia="zh-CN"/>
        </w:rPr>
      </w:pPr>
    </w:p>
    <w:p w14:paraId="5044256E">
      <w:pPr>
        <w:pStyle w:val="2"/>
        <w:jc w:val="center"/>
      </w:pPr>
      <w:r>
        <w:drawing>
          <wp:inline distT="0" distB="0" distL="114300" distR="114300">
            <wp:extent cx="4734560" cy="28194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C378C1">
      <w:pPr>
        <w:pStyle w:val="2"/>
        <w:jc w:val="center"/>
        <w:rPr>
          <w:rFonts w:hint="eastAsia"/>
          <w:lang w:val="en-US" w:eastAsia="zh-CN"/>
        </w:rPr>
      </w:pPr>
    </w:p>
    <w:p w14:paraId="10F4E8D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11B4CB4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鹿邑县科学技术协会2024年收入合计456.86万元，其中：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390.50</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66.36</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754EEC68">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1838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B1A79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34DF0DA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鹿邑县科学技术协会2024年支出合计456.86万元，其中：基本支出132.08万元，占28.91%；项目支出324.78万元，占71.09%。</w:t>
      </w:r>
    </w:p>
    <w:p w14:paraId="0E2C0C85">
      <w:pPr>
        <w:pStyle w:val="2"/>
        <w:rPr>
          <w:rFonts w:hint="eastAsia"/>
          <w:lang w:val="en-US" w:eastAsia="zh-CN"/>
        </w:rPr>
      </w:pPr>
    </w:p>
    <w:p w14:paraId="52C1FD23">
      <w:pPr>
        <w:pStyle w:val="2"/>
        <w:jc w:val="center"/>
        <w:rPr>
          <w:rFonts w:hint="eastAsia"/>
          <w:lang w:val="en-US" w:eastAsia="zh-CN"/>
        </w:rPr>
      </w:pPr>
      <w:r>
        <w:drawing>
          <wp:inline distT="0" distB="0" distL="114300" distR="114300">
            <wp:extent cx="4734560" cy="3430270"/>
            <wp:effectExtent l="4445" t="4445" r="15875"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DB506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3BA852E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鹿邑县科学技术协会2024年一般公共预算收支预算456.86万元，政府性基金收支预算0.00万元，国有资本经营预算0.00万元。与2023年相比，一般公共预算收支预算减少103.60万元，下降18.48%，主要原因是：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00C16E36">
      <w:pPr>
        <w:pStyle w:val="2"/>
        <w:rPr>
          <w:rFonts w:hint="eastAsia"/>
          <w:lang w:val="en-US" w:eastAsia="zh-CN"/>
        </w:rPr>
      </w:pPr>
    </w:p>
    <w:p w14:paraId="1A7924AE">
      <w:pPr>
        <w:pStyle w:val="2"/>
        <w:jc w:val="center"/>
      </w:pPr>
      <w:r>
        <w:drawing>
          <wp:inline distT="0" distB="0" distL="114300" distR="114300">
            <wp:extent cx="4734560" cy="28244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A7787B">
      <w:pPr>
        <w:pStyle w:val="2"/>
        <w:jc w:val="center"/>
        <w:rPr>
          <w:rFonts w:hint="eastAsia"/>
          <w:lang w:val="en-US" w:eastAsia="zh-CN"/>
        </w:rPr>
      </w:pPr>
    </w:p>
    <w:p w14:paraId="6E36F6B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5CCADF6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鹿邑县科学技术协会2024年一般公共预算支出年初预算为390.50万元。其中</w:t>
      </w:r>
      <w:r>
        <w:rPr>
          <w:rFonts w:hint="eastAsia" w:ascii="仿宋" w:hAnsi="仿宋" w:eastAsia="仿宋" w:cs="仿宋"/>
          <w:sz w:val="32"/>
          <w:szCs w:val="32"/>
          <w:highlight w:val="none"/>
          <w:lang w:val="en-US" w:eastAsia="zh-CN"/>
        </w:rPr>
        <w:t>基本支出132.08万元，占33.82%；项目支出258.42万元，占66.18%</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0DE7965A">
      <w:pPr>
        <w:keepNext w:val="0"/>
        <w:keepLines w:val="0"/>
        <w:pageBreakBefore w:val="0"/>
        <w:numPr>
          <w:ilvl w:val="0"/>
          <w:numId w:val="2"/>
        </w:numPr>
        <w:wordWrap/>
        <w:topLinePunct w:val="0"/>
        <w:bidi w:val="0"/>
        <w:spacing w:line="600" w:lineRule="exact"/>
        <w:ind w:left="0" w:right="0" w:rightChars="0"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color w:val="000000"/>
          <w:kern w:val="0"/>
          <w:sz w:val="32"/>
          <w:szCs w:val="32"/>
        </w:rPr>
        <w:t>科学技术支出</w:t>
      </w:r>
      <w:r>
        <w:rPr>
          <w:rFonts w:hint="eastAsia" w:ascii="仿宋_GB2312" w:hAnsi="仿宋_GB2312" w:eastAsia="仿宋_GB2312" w:cs="仿宋_GB2312"/>
          <w:color w:val="000000"/>
          <w:kern w:val="0"/>
          <w:sz w:val="32"/>
          <w:szCs w:val="32"/>
          <w:lang w:eastAsia="zh-CN"/>
        </w:rPr>
        <w:t>（类）</w:t>
      </w:r>
      <w:r>
        <w:rPr>
          <w:rFonts w:hint="eastAsia" w:ascii="仿宋_GB2312" w:hAnsi="仿宋_GB2312" w:eastAsia="仿宋_GB2312" w:cs="仿宋_GB2312"/>
          <w:color w:val="000000"/>
          <w:kern w:val="0"/>
          <w:sz w:val="32"/>
          <w:szCs w:val="32"/>
          <w:lang w:val="en-US" w:eastAsia="zh-CN"/>
        </w:rPr>
        <w:t>358.92</w:t>
      </w:r>
      <w:r>
        <w:rPr>
          <w:rFonts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91.91</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。其中：</w:t>
      </w:r>
      <w:r>
        <w:rPr>
          <w:rFonts w:hint="eastAsia" w:ascii="仿宋_GB2312" w:hAnsi="仿宋_GB2312" w:eastAsia="仿宋_GB2312" w:cs="仿宋_GB2312"/>
          <w:b w:val="0"/>
          <w:bCs w:val="0"/>
          <w:sz w:val="32"/>
          <w:szCs w:val="32"/>
          <w:lang w:eastAsia="zh-CN"/>
        </w:rPr>
        <w:t>科学技术普及（款）</w:t>
      </w:r>
      <w:r>
        <w:rPr>
          <w:rFonts w:hint="eastAsia" w:ascii="仿宋_GB2312" w:hAnsi="仿宋_GB2312" w:eastAsia="仿宋_GB2312" w:cs="仿宋_GB2312"/>
          <w:b w:val="0"/>
          <w:bCs w:val="0"/>
          <w:sz w:val="32"/>
          <w:szCs w:val="32"/>
          <w:lang w:val="en-US" w:eastAsia="zh-CN"/>
        </w:rPr>
        <w:t>科普活动</w:t>
      </w:r>
      <w:r>
        <w:rPr>
          <w:rFonts w:hint="eastAsia" w:ascii="仿宋_GB2312" w:hAnsi="仿宋_GB2312" w:eastAsia="仿宋_GB2312" w:cs="仿宋_GB2312"/>
          <w:b w:val="0"/>
          <w:bCs w:val="0"/>
          <w:sz w:val="32"/>
          <w:szCs w:val="32"/>
          <w:lang w:eastAsia="zh-CN"/>
        </w:rPr>
        <w:t>（项）支出</w:t>
      </w:r>
      <w:r>
        <w:rPr>
          <w:rFonts w:hint="eastAsia" w:ascii="仿宋_GB2312" w:hAnsi="仿宋_GB2312" w:eastAsia="仿宋_GB2312" w:cs="仿宋_GB2312"/>
          <w:b w:val="0"/>
          <w:bCs w:val="0"/>
          <w:sz w:val="32"/>
          <w:szCs w:val="32"/>
          <w:lang w:val="en-US" w:eastAsia="zh-CN"/>
        </w:rPr>
        <w:t>220.60万元</w:t>
      </w:r>
      <w:r>
        <w:rPr>
          <w:rFonts w:hint="eastAsia" w:ascii="仿宋_GB2312" w:hAnsi="仿宋_GB2312" w:eastAsia="仿宋_GB2312" w:cs="仿宋_GB2312"/>
          <w:b w:val="0"/>
          <w:bCs w:val="0"/>
          <w:sz w:val="32"/>
          <w:szCs w:val="32"/>
          <w:lang w:eastAsia="zh-CN"/>
        </w:rPr>
        <w:t>；科学技术普及（款）机构运行（项）支出</w:t>
      </w:r>
      <w:r>
        <w:rPr>
          <w:rFonts w:hint="eastAsia" w:ascii="仿宋_GB2312" w:hAnsi="仿宋_GB2312" w:eastAsia="仿宋_GB2312" w:cs="仿宋_GB2312"/>
          <w:b w:val="0"/>
          <w:bCs w:val="0"/>
          <w:sz w:val="32"/>
          <w:szCs w:val="32"/>
          <w:lang w:val="en-US" w:eastAsia="zh-CN"/>
        </w:rPr>
        <w:t>138.32万元。</w:t>
      </w:r>
    </w:p>
    <w:p w14:paraId="16BA642B">
      <w:pPr>
        <w:keepNext w:val="0"/>
        <w:keepLines w:val="0"/>
        <w:pageBreakBefore w:val="0"/>
        <w:numPr>
          <w:ilvl w:val="0"/>
          <w:numId w:val="2"/>
        </w:numPr>
        <w:wordWrap/>
        <w:topLinePunct w:val="0"/>
        <w:bidi w:val="0"/>
        <w:spacing w:line="600" w:lineRule="exact"/>
        <w:ind w:left="0" w:right="0" w:rightChars="0"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社会保障和就业（类）支出13.10万元，占3.35%。其中：行政事业单位养老保险支出（款）机关事业单位基本养老保险缴费支出（项）支出12.56万元；其他社会保障和就业支出（款）其他社会保障和就业支出（项）支出0.54万元。</w:t>
      </w:r>
    </w:p>
    <w:p w14:paraId="5DF60CE0">
      <w:pPr>
        <w:keepNext w:val="0"/>
        <w:keepLines w:val="0"/>
        <w:pageBreakBefore w:val="0"/>
        <w:numPr>
          <w:ilvl w:val="0"/>
          <w:numId w:val="2"/>
        </w:numPr>
        <w:wordWrap/>
        <w:topLinePunct w:val="0"/>
        <w:bidi w:val="0"/>
        <w:spacing w:line="600" w:lineRule="exact"/>
        <w:ind w:left="0" w:right="0" w:rightChars="0"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卫生健康支出（类）9.06万元，占2.32%，其中：行政事业医疗（款）行政单位医疗（项）支出4.36万元；行政事业医疗（款）事业单位医疗（项）支出1.29万元；行政事业单位医疗（款）其他行政事业单位医疗支出（项）支出3.41万元。</w:t>
      </w:r>
    </w:p>
    <w:p w14:paraId="7F207FC5">
      <w:pPr>
        <w:keepNext w:val="0"/>
        <w:keepLines w:val="0"/>
        <w:pageBreakBefore w:val="0"/>
        <w:numPr>
          <w:ilvl w:val="0"/>
          <w:numId w:val="2"/>
        </w:numPr>
        <w:wordWrap/>
        <w:topLinePunct w:val="0"/>
        <w:bidi w:val="0"/>
        <w:spacing w:line="600" w:lineRule="exact"/>
        <w:ind w:left="0" w:right="0" w:rightChars="0"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住房保障支出（类）9.42万元，占2.41%，其中：住房改革支出（款）住房公积金（项）支出9.42万元。</w:t>
      </w:r>
    </w:p>
    <w:p w14:paraId="309FD469">
      <w:pPr>
        <w:pStyle w:val="2"/>
      </w:pPr>
    </w:p>
    <w:p w14:paraId="4539DA33">
      <w:pPr>
        <w:pStyle w:val="2"/>
        <w:jc w:val="center"/>
      </w:pPr>
      <w:r>
        <w:drawing>
          <wp:inline distT="0" distB="0" distL="114300" distR="114300">
            <wp:extent cx="4876800" cy="3323590"/>
            <wp:effectExtent l="4445" t="4445" r="8255" b="1206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D2355A">
      <w:pPr>
        <w:pStyle w:val="2"/>
        <w:jc w:val="both"/>
      </w:pPr>
    </w:p>
    <w:p w14:paraId="3351AF4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61E2911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鹿邑县科学技术协会2024年一般公共预算基本支出年初预算为132.08万元，其中：人员经费支出122.31万元，占92.60%；公用经费支出9.77万元，占7.40%。</w:t>
      </w:r>
    </w:p>
    <w:p w14:paraId="76DC8D63">
      <w:pPr>
        <w:pStyle w:val="2"/>
        <w:rPr>
          <w:rFonts w:hint="eastAsia"/>
          <w:lang w:val="en-US" w:eastAsia="zh-CN"/>
        </w:rPr>
      </w:pPr>
    </w:p>
    <w:p w14:paraId="57F4AF5D">
      <w:pPr>
        <w:pStyle w:val="2"/>
        <w:jc w:val="center"/>
      </w:pPr>
      <w:r>
        <w:drawing>
          <wp:inline distT="0" distB="0" distL="114300" distR="114300">
            <wp:extent cx="4745990" cy="3204210"/>
            <wp:effectExtent l="4445" t="4445" r="1968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D1B486">
      <w:pPr>
        <w:pStyle w:val="2"/>
        <w:jc w:val="center"/>
        <w:rPr>
          <w:rFonts w:hint="eastAsia"/>
          <w:lang w:val="en-US" w:eastAsia="zh-CN"/>
        </w:rPr>
      </w:pPr>
    </w:p>
    <w:p w14:paraId="2088266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524DA5E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2024年一般公共预算基本支出年初预算为132.08万元，其中：人员经费支出122.31万元，占92.60%；主要包括：基本工资60.14万元、津贴补贴14.38万元、奖金9.20万元、绩效工资4.12万元、机关事业单位基本养老保险缴费12.56万元、医疗保险缴费5.65万元、其他社会保障缴费3.95万元、住房公积金9.42万元、退休费2.90万元。公用经费支出9.77万元，占7.40%。主要包括：办公费2.14万元、公务接待费0.20万元、其他交通费用7.43万元。</w:t>
      </w:r>
    </w:p>
    <w:p w14:paraId="5395A1B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01CFF57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鹿邑县科学技术协会2024年机构运行经费支出预算9.77万元，主要保障机关机构正常运转及正常履职需要的办公费、水电费、物业费、维修费、差旅费等支出，与2023年相比减少0.85万元，下降8.00%，主要原因：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5346C61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28CD2C9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科学技术协会2024年预算支出456.86万元，其中：301工资福利支出254.24万元，主要包括：基本工资93.72万元、津贴补贴14.38万元、奖金9.20万元、绩效工资4.12万元、基本养老保险缴费12.56万元、医疗保险缴费5.65万元、其他社会保障缴费3.95万元、住房公积金9.42万元、其他工资福利性支出1.24万元；302商品和服务支出299.73万元，主要包括：办公费66.47万元、公务接待费0.20万元、其他商品服务支出225.63万元、其他交通费用7.43万元；303对个人和家庭的补助支出2.90万元，主要包括：退休费2.90万元。</w:t>
      </w:r>
    </w:p>
    <w:p w14:paraId="21B7980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50E8DFA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鹿邑县科学技术协会2024年“三公”经费预算为0.20万元。2024年“三公”经费支出预算数较2023年减少0.80万元，下降80.00%，主要原因：</w:t>
      </w:r>
      <w:r>
        <w:rPr>
          <w:rFonts w:hint="eastAsia" w:ascii="仿宋" w:hAnsi="仿宋" w:eastAsia="仿宋" w:cs="仿宋"/>
          <w:snapToGrid/>
          <w:kern w:val="2"/>
          <w:sz w:val="32"/>
          <w:szCs w:val="32"/>
          <w:highlight w:val="yellow"/>
          <w:lang w:val="en-US" w:eastAsia="zh-CN" w:bidi="ar-SA"/>
        </w:rPr>
        <w:t>********。</w:t>
      </w:r>
    </w:p>
    <w:p w14:paraId="25188124">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6262AC0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9A3A82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172397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(三)公务接待费0.20万元，主要用于按规定开支的各类公务接待(含外宾接待)支出。预算数较2023减少0.80万元，下降80.00%，主要原因是：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641452E">
      <w:pPr>
        <w:pStyle w:val="2"/>
        <w:rPr>
          <w:rFonts w:hint="eastAsia"/>
          <w:lang w:val="en-US" w:eastAsia="zh-CN"/>
        </w:rPr>
      </w:pPr>
    </w:p>
    <w:p w14:paraId="05B7A455">
      <w:pPr>
        <w:pStyle w:val="2"/>
        <w:jc w:val="center"/>
      </w:pPr>
      <w:r>
        <w:drawing>
          <wp:inline distT="0" distB="0" distL="114300" distR="114300">
            <wp:extent cx="5043805" cy="2894965"/>
            <wp:effectExtent l="4445" t="4445" r="6350" b="889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606ECA">
      <w:pPr>
        <w:pStyle w:val="2"/>
        <w:jc w:val="center"/>
        <w:rPr>
          <w:rFonts w:hint="eastAsia"/>
          <w:lang w:val="en-US" w:eastAsia="zh-CN"/>
        </w:rPr>
      </w:pPr>
    </w:p>
    <w:p w14:paraId="265AD29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6F95EEB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鹿邑县科学技术协会2024年无政府性基金预算拨款安排的支出。</w:t>
      </w:r>
    </w:p>
    <w:p w14:paraId="545304F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2883E3F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鹿邑县科学技术协会2024年无国有资本经营预算拨款安排的支出。</w:t>
      </w:r>
    </w:p>
    <w:p w14:paraId="6AED163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72891A9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鹿邑县科学技术协会</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40BB579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3DDAC2C4">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鹿邑县科学技术协会</w:t>
      </w:r>
      <w:r>
        <w:rPr>
          <w:rFonts w:hint="eastAsia" w:ascii="仿宋" w:hAnsi="仿宋" w:eastAsia="仿宋" w:cs="仿宋"/>
          <w:snapToGrid/>
          <w:kern w:val="2"/>
          <w:sz w:val="32"/>
          <w:szCs w:val="32"/>
          <w:highlight w:val="none"/>
          <w:lang w:val="en-US" w:eastAsia="zh-CN" w:bidi="ar-SA"/>
        </w:rPr>
        <w:t>纳入预算绩效管理的支出总额为456.86万元，其中：人员经费支出122.31万元，公用经费支出9.77万元，项目支出总额324.78万元。支出项目共10个，其中：预算支出100万元及100万元以上的重点项目1个，支出总额216.60万元。均按要求编制了绩效目标，从项目产出、项目效益、满意度等方面设置了绩效指标，综合反映项目预期完成的数量、实效、质量，预期达到的社会经济效益、可持续影响以及服务对象满意度等情况。</w:t>
      </w:r>
    </w:p>
    <w:p w14:paraId="4FA750D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343CF810">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717243E4">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 w:hAnsi="仿宋" w:eastAsia="仿宋" w:cs="仿宋"/>
          <w:kern w:val="2"/>
          <w:sz w:val="32"/>
          <w:szCs w:val="32"/>
          <w:highlight w:val="none"/>
          <w:lang w:val="en-US" w:eastAsia="zh-CN"/>
        </w:rPr>
        <w:t>鹿邑县残疾人联合会</w:t>
      </w:r>
      <w:r>
        <w:rPr>
          <w:rFonts w:hint="eastAsia" w:ascii="仿宋" w:hAnsi="仿宋" w:eastAsia="仿宋" w:cs="仿宋"/>
          <w:snapToGrid/>
          <w:kern w:val="2"/>
          <w:sz w:val="32"/>
          <w:szCs w:val="32"/>
          <w:highlight w:val="none"/>
          <w:lang w:val="en-US" w:eastAsia="zh-CN" w:bidi="ar-SA"/>
        </w:rPr>
        <w:t>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3D7B58BA">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153FE71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科学技术协会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6D4D6564">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0F79C17A">
      <w:pPr>
        <w:spacing w:line="592" w:lineRule="exact"/>
        <w:ind w:firstLine="640" w:firstLineChars="200"/>
        <w:rPr>
          <w:rFonts w:ascii="仿宋_GB2312" w:hAnsi="仿宋_GB2312" w:eastAsia="仿宋_GB2312" w:cs="仿宋_GB2312"/>
          <w:b/>
          <w:sz w:val="32"/>
          <w:szCs w:val="32"/>
          <w:highlight w:val="yellow"/>
        </w:rPr>
      </w:pPr>
      <w:r>
        <w:rPr>
          <w:rFonts w:hint="eastAsia" w:ascii="仿宋" w:hAnsi="仿宋" w:eastAsia="仿宋" w:cs="仿宋"/>
          <w:snapToGrid/>
          <w:kern w:val="2"/>
          <w:sz w:val="32"/>
          <w:szCs w:val="32"/>
          <w:highlight w:val="none"/>
          <w:lang w:val="en-US" w:eastAsia="zh-CN" w:bidi="ar-SA"/>
        </w:rPr>
        <w:t>鹿邑县科学技术协会</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没有</w:t>
      </w:r>
      <w:r>
        <w:rPr>
          <w:rFonts w:hint="eastAsia" w:ascii="仿宋_GB2312" w:hAnsi="仿宋_GB2312" w:eastAsia="仿宋_GB2312" w:cs="仿宋_GB2312"/>
          <w:kern w:val="0"/>
          <w:sz w:val="32"/>
          <w:szCs w:val="32"/>
        </w:rPr>
        <w:t>债务收入支出项目安排</w:t>
      </w:r>
      <w:r>
        <w:rPr>
          <w:rFonts w:hint="eastAsia" w:ascii="仿宋_GB2312" w:hAnsi="仿宋_GB2312" w:eastAsia="仿宋_GB2312" w:cs="仿宋_GB2312"/>
          <w:kern w:val="0"/>
          <w:sz w:val="32"/>
          <w:szCs w:val="32"/>
          <w:lang w:eastAsia="zh-CN"/>
        </w:rPr>
        <w:t>。</w:t>
      </w:r>
    </w:p>
    <w:p w14:paraId="3F96924F">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6594AF91">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7E95D1F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684FD54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53C69C4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57F4FCE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0FE4627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6B425E6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A438DD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26EAB0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567B566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03DCBA2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3E9DEC6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70DFD77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4A92CAF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0DD331E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附件：鹿邑县科学技术协会2024年度部门预算表</w:t>
      </w:r>
    </w:p>
    <w:p w14:paraId="6349F91E">
      <w:pPr>
        <w:jc w:val="left"/>
      </w:pPr>
    </w:p>
    <w:p w14:paraId="45F05417">
      <w:pPr>
        <w:jc w:val="left"/>
      </w:pPr>
    </w:p>
    <w:p w14:paraId="1B1601E3">
      <w:pPr>
        <w:jc w:val="left"/>
        <w:rPr>
          <w:rFonts w:hint="eastAsia" w:ascii="仿宋" w:hAnsi="仿宋" w:eastAsia="仿宋" w:cs="仿宋"/>
          <w:color w:val="000000"/>
          <w:kern w:val="0"/>
          <w:sz w:val="21"/>
          <w:szCs w:val="21"/>
          <w:highlight w:val="none"/>
          <w:lang w:val="en-US" w:eastAsia="zh-CN"/>
        </w:rPr>
      </w:pPr>
      <w:bookmarkStart w:id="0" w:name="_GoBack"/>
      <w:bookmarkEnd w:id="0"/>
    </w:p>
    <w:sectPr>
      <w:footerReference r:id="rId5" w:type="default"/>
      <w:pgSz w:w="11905" w:h="16837"/>
      <w:pgMar w:top="1440" w:right="1701" w:bottom="1440" w:left="1701"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BD8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63EF3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L5+HoCAgAACwQAAA4AAABkcnMvZTJvRG9jLnhtbK1TwY7TMBC9I/EP&#10;lu80bSW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E2T8PI1Z05Yavn529fz95/n&#10;H1/YLBnU+VBS3r3f4rgLBJPavkGbvqSD9dnU09VU1UcmKThbzBeLKfkt6eyyIZ7i4XePIb5TYFkC&#10;FUfqWjZTHG9DHFIvKek2BxttDMVFadwfAeJMkSJVPNSYUOx3/Vj4DuoT6UUYBiF4udF0560IcSuQ&#10;Ok910tuId7Q0BrqKw4g4awE//yue8qkhdMpZR5NUcUcPhzPz3lGj0tBdAF7A7gLcwb4FGs0ZZxhN&#10;hvSDcJLoKh45O3jU+zZXm5QG/+YQSX52JWkbBI2SaUayr+M8pyH8fZ+zHt7w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0vn4egICAAALBAAADgAAAAAAAAABACAAAAAfAQAAZHJzL2Uyb0Rv&#10;Yy54bWxQSwUGAAAAAAYABgBZAQAAkwUAAAAA&#10;">
              <v:fill on="f" focussize="0,0"/>
              <v:stroke on="f"/>
              <v:imagedata o:title=""/>
              <o:lock v:ext="edit" aspectratio="f"/>
              <v:textbox inset="0mm,0mm,0mm,0mm" style="mso-fit-shape-to-text:t;">
                <w:txbxContent>
                  <w:p w14:paraId="463EF354">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abstractNum w:abstractNumId="1">
    <w:nsid w:val="10B2B265"/>
    <w:multiLevelType w:val="singleLevel"/>
    <w:tmpl w:val="10B2B26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QyOTJiODMyZjg1NTkwYjY0YjUzZmE1ZjRkM2NhOWUifQ=="/>
  </w:docVars>
  <w:rsids>
    <w:rsidRoot w:val="00000000"/>
    <w:rsid w:val="3C3E1B61"/>
    <w:rsid w:val="66997CBF"/>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_GB2312" w:hAnsi="??_GB2312" w:cs="??_GB2312"/>
      <w:sz w:val="30"/>
      <w:szCs w:val="30"/>
      <w:lang w:val="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9">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jcl\Desktop\&#40575;&#37009;&#39044;&#31639;&#20844;&#24320;&#22270;&#34920;&#27169;&#2649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manualLayout>
          <c:layoutTarget val="inner"/>
          <c:xMode val="edge"/>
          <c:yMode val="edge"/>
          <c:x val="0.101072961373391"/>
          <c:y val="0.171621621621622"/>
          <c:w val="0.867811158798283"/>
          <c:h val="0.719459459459459"/>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456.86</c:v>
                </c:pt>
                <c:pt idx="1" c:formatCode="#.00&quot;万&quot;&quot;元&quot;">
                  <c:v>560.46</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manualLayout>
          <c:xMode val="edge"/>
          <c:yMode val="edge"/>
          <c:x val="0.407188841201717"/>
          <c:y val="0.0059832469086557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91110788193345"/>
                  <c:y val="0.0059247421496718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91110806529479"/>
                  <c:y val="0.00094512410309614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347833791676865"/>
                  <c:y val="-0.021563006823013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政府性基金, </a:t>
                    </a:r>
                    <a:r>
                      <a:rPr lang="en-US" altLang="zh-CN"/>
                      <a:t>0</a:t>
                    </a:r>
                    <a:r>
                      <a:t>.00万元</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580429982131589"/>
                  <c:y val="-0.029157135216844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strCache>
            </c:strRef>
          </c:cat>
          <c:val>
            <c:numRef>
              <c:f>[鹿邑预算公开图表模板.xlsx]Sheet1!$D$21:$G$21</c:f>
              <c:numCache>
                <c:formatCode>#.00"万""元"</c:formatCode>
                <c:ptCount val="4"/>
                <c:pt idx="0">
                  <c:v>66.36</c:v>
                </c:pt>
                <c:pt idx="1">
                  <c:v>390.5</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8704399141631"/>
          <c:y val="0.90486637415237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0096295315935"/>
                  <c:y val="0.053313587560162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96917724067039"/>
                  <c:y val="-0.09774157719363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132.08</c:v>
                </c:pt>
                <c:pt idx="1">
                  <c:v>324.78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456.86</c:v>
                </c:pt>
                <c:pt idx="1">
                  <c:v>560.46</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263207874344582"/>
                  <c:y val="-0.1050547538273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222372358883017"/>
                  <c:y val="0.15030065669989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174026859291634"/>
                    </c:manualLayout>
                  </c15:layout>
                </c:ext>
              </c:extLst>
            </c:dLbl>
            <c:dLbl>
              <c:idx val="2"/>
              <c:layout>
                <c:manualLayout>
                  <c:x val="-0.297213545821392"/>
                  <c:y val="-0.0771255346522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300488157894737"/>
                      <c:h val="0.161266105778073"/>
                    </c:manualLayout>
                  </c15:layout>
                </c:ext>
              </c:extLst>
            </c:dLbl>
            <c:dLbl>
              <c:idx val="3"/>
              <c:layout>
                <c:manualLayout>
                  <c:x val="0.365558976807294"/>
                  <c:y val="0.02793609703875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46735416666667"/>
                      <c:h val="0.184575238372647"/>
                    </c:manualLayout>
                  </c15:layout>
                </c:ext>
              </c:extLst>
            </c:dLbl>
            <c:dLbl>
              <c:idx val="4"/>
              <c:layout>
                <c:manualLayout>
                  <c:x val="0.109375"/>
                  <c:y val="0.2023776257558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484375"/>
                  <c:y val="-0.23379152815476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[鹿邑预算公开图表模板.xlsx]Sheet1!$D$120:$D$125</c:f>
              <c:strCache>
                <c:ptCount val="6"/>
                <c:pt idx="0">
                  <c:v>科学技术支出</c:v>
                </c:pt>
                <c:pt idx="1">
                  <c:v>社会保障和就业支出</c:v>
                </c:pt>
                <c:pt idx="2">
                  <c:v>卫生健康支出</c:v>
                </c:pt>
                <c:pt idx="3">
                  <c:v>住房保障支出</c:v>
                </c:pt>
              </c:strCache>
            </c:strRef>
          </c:cat>
          <c:val>
            <c:numRef>
              <c:f>[鹿邑预算公开图表模板.xlsx]Sheet1!$E$120:$E$125</c:f>
              <c:numCache>
                <c:formatCode>#.00"万""元"</c:formatCode>
                <c:ptCount val="6"/>
                <c:pt idx="0">
                  <c:v>358.92</c:v>
                </c:pt>
                <c:pt idx="1">
                  <c:v>13.1</c:v>
                </c:pt>
                <c:pt idx="2">
                  <c:v>9.06</c:v>
                </c:pt>
                <c:pt idx="3">
                  <c:v>9.42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925781250000003"/>
          <c:y val="0.9105846388995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95281526146733"/>
                  <c:y val="-0.033095521204914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28386406208188"/>
                      <c:h val="0.152199762187872"/>
                    </c:manualLayout>
                  </c15:layout>
                </c:ext>
              </c:extLst>
            </c:dLbl>
            <c:dLbl>
              <c:idx val="1"/>
              <c:layout>
                <c:manualLayout>
                  <c:x val="-0.348998150324641"/>
                  <c:y val="-0.014414742369745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97345464276157"/>
                      <c:h val="0.141696393182719"/>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[鹿邑预算公开图表模板.xlsx]Sheet1!$D$145:$D$146</c:f>
              <c:strCache>
                <c:ptCount val="2"/>
                <c:pt idx="0">
                  <c:v>人员经费</c:v>
                </c:pt>
                <c:pt idx="1">
                  <c:v>公用经费</c:v>
                </c:pt>
              </c:strCache>
            </c:strRef>
          </c:cat>
          <c:val>
            <c:numRef>
              <c:f>[鹿邑预算公开图表模板.xlsx]Sheet1!$E$145:$E$146</c:f>
              <c:numCache>
                <c:formatCode>#.00"万""元"</c:formatCode>
                <c:ptCount val="2"/>
                <c:pt idx="0">
                  <c:v>122.31</c:v>
                </c:pt>
                <c:pt idx="1">
                  <c:v>9.77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'[鹿邑预算公开图表模板(1).xlsx]Sheet1'!$D$174:$E$174</c:f>
              <c:strCache>
                <c:ptCount val="2"/>
                <c:pt idx="0">
                  <c:v>2024年</c:v>
                </c:pt>
                <c:pt idx="1">
                  <c:v>2023年</c:v>
                </c:pt>
              </c:strCache>
            </c:strRef>
          </c:cat>
          <c:val>
            <c:numRef>
              <c:f>'[鹿邑预算公开图表模板(1).xlsx]Sheet1'!$D$175:$E$175</c:f>
              <c:numCache>
                <c:formatCode>0.00_ </c:formatCode>
                <c:ptCount val="2"/>
                <c:pt idx="0">
                  <c:v>0.2</c:v>
                </c:pt>
                <c:pt idx="1">
                  <c:v>1</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3d64a-1ab3-4b73-bc61-8bb7e8c4dab4}">
  <ds:schemaRefs/>
</ds:datastoreItem>
</file>

<file path=customXml/itemProps3.xml><?xml version="1.0" encoding="utf-8"?>
<ds:datastoreItem xmlns:ds="http://schemas.openxmlformats.org/officeDocument/2006/customXml" ds:itemID="{e2a600f4-1cb6-48eb-a9f0-cfb2cbf16a16}">
  <ds:schemaRefs/>
</ds:datastoreItem>
</file>

<file path=customXml/itemProps4.xml><?xml version="1.0" encoding="utf-8"?>
<ds:datastoreItem xmlns:ds="http://schemas.openxmlformats.org/officeDocument/2006/customXml" ds:itemID="{68088742-0e26-444a-b222-44f89c6a585a}">
  <ds:schemaRefs/>
</ds:datastoreItem>
</file>

<file path=docProps/app.xml><?xml version="1.0" encoding="utf-8"?>
<Properties xmlns="http://schemas.openxmlformats.org/officeDocument/2006/extended-properties" xmlns:vt="http://schemas.openxmlformats.org/officeDocument/2006/docPropsVTypes">
  <Pages>15</Pages>
  <Words>4214</Words>
  <Characters>4881</Characters>
  <TotalTime>0</TotalTime>
  <ScaleCrop>false</ScaleCrop>
  <LinksUpToDate>false</LinksUpToDate>
  <CharactersWithSpaces>4890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2024-08-18T02:29:46Z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