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F480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BE5C77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16865A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ACF1F0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D1DB34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5DE662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96253D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A8C0BD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1F1365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鹿邑县老子文化产业园建设服务中心</w:t>
      </w:r>
    </w:p>
    <w:p w14:paraId="3E83461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3183804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19AE4B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DEC034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AD640E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26AF7B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742DA6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4064DE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AD3037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0EF6994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22CD1BD0">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鹿邑县老子文化产业园建设服务中心</w:t>
      </w:r>
      <w:r>
        <w:rPr>
          <w:rFonts w:ascii="黑体" w:hAnsi="黑体" w:eastAsia="黑体" w:cs="黑体"/>
          <w:spacing w:val="11"/>
          <w:sz w:val="31"/>
          <w:szCs w:val="31"/>
          <w:highlight w:val="none"/>
        </w:rPr>
        <w:t>概况</w:t>
      </w:r>
    </w:p>
    <w:p w14:paraId="4904D3CC">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2CEFDABF">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1B9B26A9">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鹿邑县老子文化产业园建设服务中心</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79E3ABA0">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2FDA6181">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鹿邑县老子文化产业园建设服务中心</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7AEE202C">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3CA8E6BB">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0DF5DD48">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23291DC7">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0EBBA31E">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74732FBE">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2899EAB8">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3E4A415A">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1D6746C3">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2F26786B">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17D162DC">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41D73818">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10D21FE3">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31921D39">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05C63996">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122A616B">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1812E0DA">
      <w:pPr>
        <w:rPr>
          <w:rFonts w:hint="eastAsia" w:ascii="仿宋" w:hAnsi="仿宋" w:eastAsia="仿宋" w:cs="仿宋"/>
          <w:spacing w:val="8"/>
          <w:sz w:val="31"/>
          <w:szCs w:val="31"/>
          <w:highlight w:val="none"/>
          <w:lang w:val="en-US" w:eastAsia="zh-CN"/>
        </w:rPr>
      </w:pPr>
      <w:r>
        <w:br w:type="page"/>
      </w:r>
    </w:p>
    <w:p w14:paraId="6F1D01BD">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鹿邑县老子文化产业园建设服务中心概况</w:t>
      </w:r>
    </w:p>
    <w:p w14:paraId="6775FF4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06C94DD6">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1210C6CC">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鹿邑县老子文化产业园建设办公室是主管文化园区的招商引资、规划设计、项目建设的部门，机构规格为科级，内设4个科室。</w:t>
      </w:r>
    </w:p>
    <w:p w14:paraId="6C595A3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综合科。协助处理本单位日常政务和事务工作；负责园区来客接待、参观活动；负责文件、材料的起草和文秘、新闻报道写作、负责相关会议的组织安排；负责机关档案、保密、安保、后勤和车辆管理等工作；负责园区、人事、编制、党务等工作；协助做好园区纪检监察、工会及其他群团组织工作。</w:t>
      </w:r>
    </w:p>
    <w:p w14:paraId="6FF82F4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规划科。按照园区总体规划的要求，指导编制园区内的控制性规划与修建性详细规划，搞好园区的规划管理；负责园区内基础设施建设项目的测量、设计、预决算编制与复核、组织施工与竣工验收，工程招投标发包，工程质量管理，工程安全管理；根据项目用地需要，负责安排入园企业用地的初步选址与规划，确定初步选址红线图，并根据县直有关部门的批准文件，做好土地使用工作；协助有关职能部门做好入园企业项目用地的清理和收购工作；管理工程档案资料；负责园区建设的秩序、建筑质量、安全生产等方面的管理。</w:t>
      </w:r>
    </w:p>
    <w:p w14:paraId="7DAE641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招商科。负责招商引资工作，做好入园企业的代理服务，改善投资环境，筛选储备重点项目；负责园区投融资平台建设；负责项目考察、评估以及立项，负责对外开放、招商引资的组织宣传和实施工作；负责园区招商引资项目库的建立、管理和信息网络建设工作；负责园区融资争资，多渠道筹措建设资金。</w:t>
      </w:r>
    </w:p>
    <w:p w14:paraId="656F0DC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财务科。负责园区范围内财政契税、耕地占用税的征收管理及国、地税的协助征收管理，做到应征尽征；负责国、地、财三局和县政务中心收费等部门协调；负责园区建设办公室机关、投资公司财务计划的起草和执行及财务收支核算管理，财产物资管理和运行监督机制管理。1</w:t>
      </w:r>
    </w:p>
    <w:p w14:paraId="47BE14B3">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部门职责</w:t>
      </w:r>
    </w:p>
    <w:p w14:paraId="090F72C9">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1、贯彻落实省、市、县关于文化产业发展的政策和县委、县政府的决策部署，负责编制文化产业园区发展的总体规划、建设性详规并组织实施。</w:t>
      </w:r>
    </w:p>
    <w:p w14:paraId="4747A85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2、研究制定文化园区发展的政策措施并组织实施。</w:t>
      </w:r>
    </w:p>
    <w:p w14:paraId="17150DA9">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3、负责文化产业园区项目的规划、建设、协调和管理。</w:t>
      </w:r>
    </w:p>
    <w:p w14:paraId="52B280A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4、负责文化产业园区项目的招商引资。</w:t>
      </w:r>
    </w:p>
    <w:p w14:paraId="25AC4ED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5、积极争取上级对文化产业发展的政策、项目和资金的支持，培植大型文化产业集团和产业集群。</w:t>
      </w:r>
    </w:p>
    <w:p w14:paraId="326B2DC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6、建设文化产业投资平台，推进文化产业园区的国有文化旅游资产。</w:t>
      </w:r>
    </w:p>
    <w:p w14:paraId="6A84D79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7、承办县委、县政府交办的其他事项。</w:t>
      </w:r>
    </w:p>
    <w:p w14:paraId="6FB406E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779D2F66">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纳入本部门2024年部门预算编制范围的单位共一个：鹿邑县老子文化产业园建设办公室本级，无二级预算单位。</w:t>
      </w:r>
    </w:p>
    <w:p w14:paraId="263F53D5">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3F59DCD9">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鹿邑县老子文化产业园建设服务中心2024年部门预算情况说明</w:t>
      </w:r>
    </w:p>
    <w:p w14:paraId="28C90FD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631C64D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鹿邑县老子文化产业园建设服务中心2024年收入总计114.58万元，支出总计114.58万元，与2023年预算相比，收、支总计减少527.54万元，下降82.16%，主要原因是：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15BDDD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3615E4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7FE3706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鹿邑县老子文化产业园建设服务中心2024年收入合计114.58万元，其中：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84.27</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30.31</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7C5C6BA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2600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DBEE9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3F80711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鹿邑县老子文化产业园建设服务中心2024年支出合计114.58万元，其中：基本支出32.88万元，占28.70%；项目支出81.70万元，占71.30%。</w:t>
      </w:r>
    </w:p>
    <w:p w14:paraId="61463B15">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506470"/>
            <wp:effectExtent l="5080" t="4445" r="15240"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85A77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2B4FB9C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鹿邑县老子文化产业园建设服务中心2024年一般公共预算收支预算114.58万元，政府性基金收支预算0.00万元，国有资本经营预算0.00万元。与2023年相比，一般公共预算收支预算增加1.91万元，增长1.70%，主要原因是：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；政府性基金收支预算减少529.45万元，下降100.00%，主要原因是：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3B729F0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9D270F">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p>
    <w:p w14:paraId="0B6787D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2FD9E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1D26B5AE">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鹿邑县老子文化产业园建设服务中心2024年一般公共预算支出年初预算为84.27万元。其中</w:t>
      </w:r>
      <w:r>
        <w:rPr>
          <w:rFonts w:hint="eastAsia" w:ascii="仿宋" w:hAnsi="仿宋" w:eastAsia="仿宋" w:cs="仿宋"/>
          <w:sz w:val="32"/>
          <w:szCs w:val="32"/>
          <w:highlight w:val="none"/>
          <w:lang w:val="en-US" w:eastAsia="zh-CN"/>
        </w:rPr>
        <w:t>基本支出32.88万元，占39.02%；项目支出51.39万元，占60.98%</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3E31C8DF">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一般公共服务支出71.76万元，占85.15%。其中：政府办公厅（室）及相关机构事务（款）事业运行（项）71.76万元；</w:t>
      </w:r>
    </w:p>
    <w:p w14:paraId="201EFEFD">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1" w:firstLineChars="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社会保障和就业支出8.25万元，占9.79%。其中：行政事业单位养老支出（款）机关事业单位基本养老保险缴费支出（项）3.73万元；其他社会保障和就业支出（款）其他社会保障和就业支出（项）4.52万元；</w:t>
      </w:r>
    </w:p>
    <w:p w14:paraId="7CC047BA">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1" w:firstLineChars="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卫生健康支出1.53万元，占1.82%。其中：行政事业单位医疗（款）事业单位医疗（项）1.49万元；行政事业单位医疗（款）其他行政事业单位医疗支出（项）0.04万元；</w:t>
      </w:r>
    </w:p>
    <w:p w14:paraId="0A9BA321">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1" w:firstLineChars="0"/>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住房保障支出2.73万元，占3.24%。其中：住房改革支出（款）住房公积金（项）2.73万元</w:t>
      </w:r>
      <w:r>
        <w:rPr>
          <w:rFonts w:hint="eastAsia" w:ascii="仿宋" w:hAnsi="仿宋" w:eastAsia="仿宋" w:cs="仿宋"/>
          <w:snapToGrid/>
          <w:color w:val="000000"/>
          <w:kern w:val="2"/>
          <w:sz w:val="32"/>
          <w:szCs w:val="32"/>
          <w:highlight w:val="none"/>
          <w:lang w:val="en-US" w:eastAsia="zh-CN" w:bidi="ar-SA"/>
        </w:rPr>
        <w:t>。</w:t>
      </w:r>
    </w:p>
    <w:p w14:paraId="6E51C1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napToGrid/>
          <w:color w:val="000000"/>
          <w:kern w:val="2"/>
          <w:sz w:val="32"/>
          <w:szCs w:val="32"/>
          <w:highlight w:val="none"/>
          <w:lang w:val="en-US" w:eastAsia="zh-CN" w:bidi="ar-SA"/>
        </w:rPr>
      </w:pPr>
      <w:r>
        <w:drawing>
          <wp:inline distT="0" distB="0" distL="114300" distR="114300">
            <wp:extent cx="4876800" cy="34759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F6A77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1" w:leftChars="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112FAC1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鹿邑县老子文化产业园建设服务中心2024年一般公共预算基本支出年初预算为32.88万元，其中：人员经费支出32.58万元，占99.09%；公用经费支出0.30万元，占0.91%。</w:t>
      </w:r>
    </w:p>
    <w:p w14:paraId="3B0FC67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37430" cy="3315970"/>
            <wp:effectExtent l="4445" t="4445" r="9525" b="698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6BD46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0FDF24F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老子文化产业园建设服务中心2024年一般公共预算基本支出年初预算为32.88万元，其中：人员经费支出32.58万元，占99.09%；主要包括：基本工资16.72万元、津贴补贴5.76万元、绩效工资1.82万元、机关事业单位基本养老保险缴费3.73万元、职工基本医疗保险缴费1.49万元、其他社会保障缴费0.33万元、住房公积金2.73万元。公用经费支出0.30万元，占0.91%。主要包括：办公费0.30万元。</w:t>
      </w:r>
    </w:p>
    <w:p w14:paraId="419A3F8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770BC18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鹿邑县老子文化产业园建设服务中心2024年机构运行经费支出预算0.30万元，主要保障机关机构正常运转及正常履职需要的办公费、水电费、物业费、维修费、差旅费等支出，与2023年相比持平。</w:t>
      </w:r>
    </w:p>
    <w:p w14:paraId="7A3DC6F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4C31631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老子文化产业园建设服务中心2024年预算支出114.58万元，其中：301工资福利支出37.17万元，主要包括：基本工资16.72万元、津贴补贴5.76万元、绩效工资1.82万元、机关事业单位基本养老保险缴费3.73万元、职工基本医疗保险缴费1.49万元、其他社会保障缴费3.13万元、住房公积金2.73万元、其他工资福利支出1.79万元；302商品和服务支出77.41万元，主要包括：办公费44.41万元、公务接待费1.00万元、其他商品和服务支出32.00万元。</w:t>
      </w:r>
    </w:p>
    <w:p w14:paraId="741C7A11">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33B55F9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default"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鹿邑县老子文化产业园建设服务中心2024年“三公”经费预算为1.00万元。2024年“三公”经费支出预算数较2023年减少1.00万元，下降50.00%，主要原因是：</w:t>
      </w:r>
      <w:r>
        <w:rPr>
          <w:rFonts w:hint="eastAsia" w:ascii="仿宋" w:hAnsi="仿宋" w:eastAsia="仿宋" w:cs="仿宋"/>
          <w:snapToGrid/>
          <w:kern w:val="2"/>
          <w:sz w:val="32"/>
          <w:szCs w:val="32"/>
          <w:highlight w:val="yellow"/>
          <w:lang w:val="en-US" w:eastAsia="zh-CN" w:bidi="ar-SA"/>
        </w:rPr>
        <w:t>**************。</w:t>
      </w:r>
    </w:p>
    <w:p w14:paraId="1B4567F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55906D9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6DDA24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CEE3C8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(三)公务接待费1.00万元，主要用于按规定开支的各类公务接待(含外宾接待)支出。预算数较2023年减少1.00万元，下降50.00%，主要原因是：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1C1614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45990" cy="28956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D2BBD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63F83C6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鹿邑县老子文化产业园建设服务中心2024年无政府性基金预算拨款安排的支出。</w:t>
      </w:r>
    </w:p>
    <w:p w14:paraId="3A6AE96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3B23BCB0">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鹿邑县老子文化产业园建设服务中心2024年无国有资本经营预算拨款安排的支出。</w:t>
      </w:r>
    </w:p>
    <w:p w14:paraId="50828FC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63CBD0E3">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鹿邑县老子文化产业园建设服务中心</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32D0392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50B8F914">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鹿邑县老子文化产业园建设服务中心</w:t>
      </w:r>
      <w:r>
        <w:rPr>
          <w:rFonts w:hint="eastAsia" w:ascii="仿宋" w:hAnsi="仿宋" w:eastAsia="仿宋" w:cs="仿宋"/>
          <w:snapToGrid/>
          <w:kern w:val="2"/>
          <w:sz w:val="32"/>
          <w:szCs w:val="32"/>
          <w:highlight w:val="none"/>
          <w:lang w:val="en-US" w:eastAsia="zh-CN" w:bidi="ar-SA"/>
        </w:rPr>
        <w:t>纳入预算绩效管理的支出总额为114.58万元，其中：人员经费支出32.58万元，公用经费支出0.30万元，项目支出总额81.70万元。支出项目共11个，其中：预算支出100万元及100万元以上的重点项目0个，支出总额0.00万元。均按要求编制了绩效目标，从项目产出、项目效益、满意度等方面设置了绩效指标，综合反映项目预期完成的数量、实效、质量，预期达到的社会经济效益、可持续影响以及服务对象满意度等情况。</w:t>
      </w:r>
    </w:p>
    <w:p w14:paraId="0D761E9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421AE0DD">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180E8000">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w:t>
      </w:r>
      <w:r>
        <w:rPr>
          <w:rFonts w:hint="eastAsia" w:ascii="仿宋" w:hAnsi="仿宋" w:eastAsia="仿宋" w:cs="仿宋"/>
          <w:kern w:val="2"/>
          <w:sz w:val="32"/>
          <w:szCs w:val="32"/>
          <w:highlight w:val="none"/>
          <w:lang w:val="en-US" w:eastAsia="zh-CN"/>
        </w:rPr>
        <w:t>鹿邑县老子文化产业园建设服务中心</w:t>
      </w:r>
      <w:r>
        <w:rPr>
          <w:rFonts w:hint="eastAsia" w:ascii="仿宋" w:hAnsi="仿宋" w:eastAsia="仿宋" w:cs="仿宋"/>
          <w:snapToGrid/>
          <w:kern w:val="2"/>
          <w:sz w:val="32"/>
          <w:szCs w:val="32"/>
          <w:highlight w:val="none"/>
          <w:lang w:val="en-US" w:eastAsia="zh-CN" w:bidi="ar-SA"/>
        </w:rPr>
        <w:t>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万元。车辆共有</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辆，执法执勤车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w:t>
      </w:r>
    </w:p>
    <w:p w14:paraId="24C3F335">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552AA8B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老子文化产业园建设服务中心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01B58022">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603786A9">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鹿邑县老子文化产业园建设办公室2024年没有政府性债务收入安排的支出项目。</w:t>
      </w:r>
    </w:p>
    <w:p w14:paraId="31A36740">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2658D4A5">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4578D59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1497C6D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68C981C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09A4152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6DDF9B2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38C820C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2BD21A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23F7FF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327A3B3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01EE5DD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237393F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54B401A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78B3A33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5E2E6CF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附件：鹿邑县老子文化产业园建设服务中心2024年度部门</w:t>
      </w:r>
      <w:bookmarkStart w:id="0" w:name="_GoBack"/>
      <w:bookmarkEnd w:id="0"/>
      <w:r>
        <w:rPr>
          <w:rFonts w:hint="eastAsia" w:ascii="仿宋" w:hAnsi="仿宋" w:eastAsia="仿宋" w:cs="仿宋"/>
          <w:snapToGrid/>
          <w:kern w:val="2"/>
          <w:sz w:val="32"/>
          <w:szCs w:val="32"/>
          <w:highlight w:val="none"/>
          <w:lang w:val="en-US" w:eastAsia="zh-CN" w:bidi="ar-SA"/>
        </w:rPr>
        <w:t>预算表</w:t>
      </w:r>
    </w:p>
    <w:p w14:paraId="1181CEAB">
      <w:pPr>
        <w:rPr>
          <w:rFonts w:hint="eastAsia" w:ascii="仿宋_GB2312" w:hAnsi="Calibri" w:eastAsia="仿宋_GB2312" w:cs="Times New Roman"/>
          <w:snapToGrid/>
          <w:kern w:val="2"/>
          <w:sz w:val="32"/>
          <w:szCs w:val="32"/>
          <w:highlight w:val="none"/>
          <w:lang w:val="en-US" w:eastAsia="zh-CN" w:bidi="ar-SA"/>
        </w:rPr>
      </w:pPr>
    </w:p>
    <w:sectPr>
      <w:footerReference r:id="rId5" w:type="default"/>
      <w:pgSz w:w="11905" w:h="16837"/>
      <w:pgMar w:top="1440" w:right="1800" w:bottom="1440" w:left="1701"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065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E4D538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F66BEUDAgAACwQAAA4AAAAAAAAAAQAgAAAAHwEAAGRycy9lMm9E&#10;b2MueG1sUEsFBgAAAAAGAAYAWQEAAJQFAAAAAA==&#10;">
              <v:fill on="f" focussize="0,0"/>
              <v:stroke on="f"/>
              <v:imagedata o:title=""/>
              <o:lock v:ext="edit" aspectratio="f"/>
              <v:textbox inset="0mm,0mm,0mm,0mm" style="mso-fit-shape-to-text:t;">
                <w:txbxContent>
                  <w:p w14:paraId="5E4D538D">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5A821"/>
    <w:multiLevelType w:val="singleLevel"/>
    <w:tmpl w:val="A7A5A821"/>
    <w:lvl w:ilvl="0" w:tentative="0">
      <w:start w:val="1"/>
      <w:numFmt w:val="decimal"/>
      <w:suff w:val="nothing"/>
      <w:lvlText w:val="%1、"/>
      <w:lvlJc w:val="left"/>
    </w:lvl>
  </w:abstractNum>
  <w:abstractNum w:abstractNumId="1">
    <w:nsid w:val="B5E306ED"/>
    <w:multiLevelType w:val="singleLevel"/>
    <w:tmpl w:val="B5E306E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773A2B24"/>
    <w:rsid w:val="7BBB7FF7"/>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114.58</c:v>
                </c:pt>
                <c:pt idx="1" c:formatCode="#,##0.00">
                  <c:v>642.12</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340493408174265"/>
                  <c:y val="-0.10708536255871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385401205391518"/>
                  <c:y val="-0.0822790721182025"/>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85346554728845"/>
                  <c:y val="0.671685534747763"/>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#0.00"万""元"</c:formatCode>
                <c:ptCount val="4"/>
                <c:pt idx="0">
                  <c:v>30.31</c:v>
                </c:pt>
                <c:pt idx="1">
                  <c:v>84.27</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231626839076817"/>
                  <c:y val="0.041689725142962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54667504771564"/>
                  <c:y val="0.067849566500645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#0.00"万""元"</c:formatCode>
                <c:ptCount val="2"/>
                <c:pt idx="0">
                  <c:v>32.88</c:v>
                </c:pt>
                <c:pt idx="1">
                  <c:v>81.7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114.58</c:v>
                </c:pt>
                <c:pt idx="1" c:formatCode="0.00_ ">
                  <c:v>112.67</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8141308711361"/>
          <c:y val="0.166890080428954"/>
          <c:w val="0.844292787367858"/>
          <c:h val="0.72171581769437"/>
        </c:manualLayout>
      </c:layout>
      <c:barChart>
        <c:barDir val="col"/>
        <c:grouping val="clustered"/>
        <c:varyColors val="0"/>
        <c:ser>
          <c:idx val="0"/>
          <c:order val="0"/>
          <c:spPr>
            <a:solidFill>
              <a:schemeClr val="accent1"/>
            </a:solidFill>
            <a:ln>
              <a:noFill/>
            </a:ln>
            <a:effectLst/>
          </c:spPr>
          <c:invertIfNegative val="0"/>
          <c:dLbls>
            <c:dLbl>
              <c:idx val="0"/>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_ ">
                  <c:v>529.45</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min val="0"/>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49762606682715"/>
                  <c:y val="-0.0727605932449482"/>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364336754719623"/>
                  <c:y val="0.16015618760225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45562383616989"/>
                  <c:y val="-0.012337113475386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441451443837199"/>
                  <c:y val="0.0684283305588972"/>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484073588113313"/>
                  <c:y val="0.06089944232605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一般公共服务支出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71.76</c:v>
                </c:pt>
                <c:pt idx="1">
                  <c:v>8.25</c:v>
                </c:pt>
                <c:pt idx="2">
                  <c:v>1.53</c:v>
                </c:pt>
                <c:pt idx="3">
                  <c:v>2.73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32.58</c:v>
                </c:pt>
                <c:pt idx="1" c:formatCode="#0.00&quot;万&quot;&quot;元&quot;">
                  <c:v>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c:formatCode>
                <c:ptCount val="2"/>
                <c:pt idx="0">
                  <c:v>1</c:v>
                </c:pt>
                <c:pt idx="1" c:formatCode="0.00_ ">
                  <c:v>2</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4f1c1f-4ba6-4000-a00e-c30f708ac19d}">
  <ds:schemaRefs/>
</ds:datastoreItem>
</file>

<file path=customXml/itemProps3.xml><?xml version="1.0" encoding="utf-8"?>
<ds:datastoreItem xmlns:ds="http://schemas.openxmlformats.org/officeDocument/2006/customXml" ds:itemID="{df657595-6ae5-4748-bc8e-163441b87fce}">
  <ds:schemaRefs/>
</ds:datastoreItem>
</file>

<file path=customXml/itemProps4.xml><?xml version="1.0" encoding="utf-8"?>
<ds:datastoreItem xmlns:ds="http://schemas.openxmlformats.org/officeDocument/2006/customXml" ds:itemID="{ff3bd0b7-2379-45d7-998e-d9fe59f5d4d5}">
  <ds:schemaRefs/>
</ds:datastoreItem>
</file>

<file path=docProps/app.xml><?xml version="1.0" encoding="utf-8"?>
<Properties xmlns="http://schemas.openxmlformats.org/officeDocument/2006/extended-properties" xmlns:vt="http://schemas.openxmlformats.org/officeDocument/2006/docPropsVTypes">
  <Pages>16</Pages>
  <Words>4673</Words>
  <Characters>5265</Characters>
  <TotalTime>18</TotalTime>
  <ScaleCrop>false</ScaleCrop>
  <LinksUpToDate>false</LinksUpToDate>
  <CharactersWithSpaces>5273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2024-08-22T06:53:58Z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BF76CD38DD77498BB7F6815533CCD939_13</vt:lpwstr>
  </property>
</Properties>
</file>