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29F0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9DCB6A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396766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DEE4AE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7D4920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9D6885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F57458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6142C1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ED8825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鹿邑县粮食和物资储备中心</w:t>
      </w:r>
    </w:p>
    <w:p w14:paraId="0174E4D0">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608AF68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C7E265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ECAA1F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1814E6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F2B2C2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9718BB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835E55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0BCDCE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29797DB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BD30EB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2770EB14">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鹿邑县粮食和物资储备中心</w:t>
      </w:r>
      <w:r>
        <w:rPr>
          <w:rFonts w:ascii="黑体" w:hAnsi="黑体" w:eastAsia="黑体" w:cs="黑体"/>
          <w:spacing w:val="11"/>
          <w:sz w:val="31"/>
          <w:szCs w:val="31"/>
          <w:highlight w:val="none"/>
        </w:rPr>
        <w:t>概况</w:t>
      </w:r>
    </w:p>
    <w:p w14:paraId="4A6F02AB">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18C66463">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0BCDA3A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鹿邑县粮食和物资储备中心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39A5ADB5">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62D7D19F">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鹿邑县粮食和物资储备中心</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174E6873">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6C6DF43C">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3D5D16B6">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6069DEA3">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61F1135B">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791A7779">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55452524">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5BDD7FA8">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5C437A59">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446B1A3E">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54828621">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44023003">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33CEBA89">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5F5344F7">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3763439F">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3AF66D00">
      <w:pPr>
        <w:keepNext w:val="0"/>
        <w:keepLines w:val="0"/>
        <w:pageBreakBefore w:val="0"/>
        <w:widowControl/>
        <w:kinsoku w:val="0"/>
        <w:wordWrap/>
        <w:overflowPunct/>
        <w:topLinePunct w:val="0"/>
        <w:autoSpaceDE w:val="0"/>
        <w:autoSpaceDN w:val="0"/>
        <w:bidi w:val="0"/>
        <w:adjustRightInd w:val="0"/>
        <w:snapToGrid w:val="0"/>
        <w:spacing w:before="2" w:line="49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预算项目绩效目标表</w:t>
      </w:r>
    </w:p>
    <w:p w14:paraId="319D065B">
      <w:pPr>
        <w:rPr>
          <w:rFonts w:hint="eastAsia" w:ascii="仿宋" w:hAnsi="仿宋" w:eastAsia="仿宋" w:cs="仿宋"/>
          <w:spacing w:val="8"/>
          <w:sz w:val="31"/>
          <w:szCs w:val="31"/>
          <w:highlight w:val="none"/>
          <w:lang w:val="en-US" w:eastAsia="zh-CN"/>
        </w:rPr>
      </w:pPr>
      <w:r>
        <w:br w:type="page"/>
      </w:r>
    </w:p>
    <w:p w14:paraId="6AA675B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鹿邑县粮食和物资储备中心概况</w:t>
      </w:r>
    </w:p>
    <w:p w14:paraId="11A7DBB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44CF129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0AB3E54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鹿邑县粮食局是主管全县粮食的部门，机构规格为科级，内设科室6个：办公室、人事股、财基计划股、购销供应股、监督检查股、离退休干部工作股。</w:t>
      </w:r>
    </w:p>
    <w:p w14:paraId="518CB3AD">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2BB4586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执行国家粮食流通和粮油储备的方针、政策法规，负责全县的粮食行业管理。拟定全县的粮食流通体制和粮油储备管理体制改革方案及管理规章，并监督执行。制定粮食企业发展规划，并且组织实施和监督检查。</w:t>
      </w:r>
    </w:p>
    <w:p w14:paraId="5866D95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2、研究拟定我县粮食流通和地方粮油储备发展战略、中长期规划、和年度粮食总量平衡计划和组织、落实粮食进口计划。</w:t>
      </w:r>
    </w:p>
    <w:p w14:paraId="2582D92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3、负债中央储备粮、小麦最低价、市场贸易粮收购、调销计划的下达和销售管理，并做好库存粮油质量监测管理工作。</w:t>
      </w:r>
    </w:p>
    <w:p w14:paraId="2DE4766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4、组织指导国有粮食购销企业认真做好各项库存粮油的安全储存和调销运输工作。</w:t>
      </w:r>
    </w:p>
    <w:p w14:paraId="41999A6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5、监督检查国有粮食购销企业和社会有粮食收购资格的民营企业对“国家小麦最低价收购政策”的执行和其它粮食政策的落实情况，查处违法违纪行为。</w:t>
      </w:r>
    </w:p>
    <w:p w14:paraId="2B81CF1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6、负责粮食余缺调剂，保证城镇居民、灾民口粮和军粮、优抚粮油供应，会同有关部门加强粮油价格监控管理，搞好粮油对外贸易。</w:t>
      </w:r>
    </w:p>
    <w:p w14:paraId="2672AC5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7、培育县级粮食批发市场，引导大宗的粮食贸易进场交易，加强粮食市场信息网络建设，掌握市场动态，搞好市场预测，指导农业生产。</w:t>
      </w:r>
    </w:p>
    <w:p w14:paraId="51CE20A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8、发展订单农业和农民结成利益共同体，互惠互利，共同发展，一起参与粮食市场大流通。</w:t>
      </w:r>
    </w:p>
    <w:p w14:paraId="085B4D3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9、会同有关部门对粮食经营资格进行审查把关。发放、审核《粮食收购许可证》证书，确保粮食有序流通。</w:t>
      </w:r>
    </w:p>
    <w:p w14:paraId="4E66895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10、负责全县粮食流通设施、粮油仓储设施和粮油工业、附营业务和规划布局，落实基建技改投资，指挥协调全县粮油收储销售、加工体系建设和利用外贸引进技术工作。</w:t>
      </w:r>
    </w:p>
    <w:p w14:paraId="69BF168C">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11、负责全县粮食企业财务管理和国有资产管理，负责监管国家粮油政策补贴和粮食专项资金；协助县财政搞好粮食风险基金的管理、使用和扭亏增盈工作。</w:t>
      </w:r>
    </w:p>
    <w:p w14:paraId="672908C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12、配合有关部门搞好粮油工业产品质量管理、计量标准管理和检测监督工作，打击粮油商品生产经营中的假冒伪劣行为，组织好粮油科技研究、科研开发、科技攻关和推广应用工作。</w:t>
      </w:r>
    </w:p>
    <w:p w14:paraId="31B0231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13、负责全县粮食系统行业管理，抓好所属企业的财务收支及经营活动的监察审计工作。</w:t>
      </w:r>
    </w:p>
    <w:p w14:paraId="07DB3AE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14、负责局机关和所属企业的人事管理工作；抓好企业领导班子建设；抓好全县粮食系统劳模工资、劳保福利、职工疗养、安全文明生产和治安保卫工作；制订组织实施粮食系统的教育发展规划，搞好人才培养和职工岗位技能培训工作。</w:t>
      </w:r>
    </w:p>
    <w:p w14:paraId="0ACEBD7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15、组织落实省六个县粮食安全县长责任制考核工作，统筹协调各成员单位落实粮食安全责任制并进行考核。做好我县地方储备粮的安全储存等工作。</w:t>
      </w:r>
    </w:p>
    <w:p w14:paraId="0A5E889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16、完成县委、县政府及上级业务主管部门交办的其它工作任务。</w:t>
      </w:r>
    </w:p>
    <w:p w14:paraId="6B2223D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5360566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纳入本部门2024年度部门预算编制范围的单位共一个：鹿邑县粮食和物资储备中心本级，无二级预算单位。</w:t>
      </w:r>
    </w:p>
    <w:p w14:paraId="4DF7F2F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17025E70">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7D6923C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鹿邑县粮食和物资储备中心2024年部门预算情况说明</w:t>
      </w:r>
    </w:p>
    <w:p w14:paraId="0B6E17F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026A56B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鹿邑县粮食和物资储备中心2024年收入总计1300.11万元，支出总计1300.11万元，与2023年预算相比，收、支总计增加166.79万元，增长14.72%，主要原因是：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F1B0A8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5AC87348">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194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0DEF77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7CD634E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3A1B468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鹿邑县粮食和物资储备中心2024年收入合计1300.11万元，其中：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314.35</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156.00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829.76</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53037167">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826000" cy="3181350"/>
            <wp:effectExtent l="5080" t="4445" r="7620"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3982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6D2FFA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鹿邑县粮食和物资储备中心2024年支出合计1300.11万元，其中：基本支出67.86万元，占5.22%；项目支出1232.25万元，占94.78%。</w:t>
      </w:r>
    </w:p>
    <w:p w14:paraId="192001E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430270"/>
            <wp:effectExtent l="4445" t="4445" r="15875"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DBD4A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6AAEEE9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鹿邑县粮食和物资储备中心2024年一般公共预算收支预算1144.11万元，政府性基金收支预算0.00万元，国有资本经营预算156.00万元。与2023年相比，一般公共预算收支预算增加116.79万元，增长11.37%，主要原因是：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；国有资本经营预算增加50.00万元，增长47.17%，主要原因是：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6F19E93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drawing>
          <wp:inline distT="0" distB="0" distL="114300" distR="114300">
            <wp:extent cx="4734560" cy="28244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80308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drawing>
          <wp:inline distT="0" distB="0" distL="114300" distR="114300">
            <wp:extent cx="4757420" cy="3101975"/>
            <wp:effectExtent l="4445" t="4445" r="8255"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FC3814">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lang w:val="en-US" w:eastAsia="zh-CN"/>
        </w:rPr>
      </w:pPr>
    </w:p>
    <w:p w14:paraId="1932080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7EFBD8C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鹿邑县粮食和物资储备中心2024年一般公共预算支出年初预算为314.35万元。其中</w:t>
      </w:r>
      <w:r>
        <w:rPr>
          <w:rFonts w:hint="eastAsia" w:ascii="仿宋" w:hAnsi="仿宋" w:eastAsia="仿宋" w:cs="仿宋"/>
          <w:sz w:val="32"/>
          <w:szCs w:val="32"/>
          <w:highlight w:val="none"/>
          <w:lang w:val="en-US" w:eastAsia="zh-CN"/>
        </w:rPr>
        <w:t>基本支出67.86万元，占21.59%；项目支出246.49万元，占78.41%</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24741015">
      <w:pPr>
        <w:keepNext w:val="0"/>
        <w:keepLines w:val="0"/>
        <w:pageBreakBefore w:val="0"/>
        <w:widowControl w:val="0"/>
        <w:wordWrap/>
        <w:overflowPunct w:val="0"/>
        <w:topLinePunct w:val="0"/>
        <w:bidi w:val="0"/>
        <w:adjustRightInd w:val="0"/>
        <w:spacing w:line="590" w:lineRule="exact"/>
        <w:ind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1、社会和保障就业支出</w:t>
      </w:r>
      <w:r>
        <w:rPr>
          <w:rFonts w:hint="eastAsia" w:ascii="仿宋_GB2312" w:hAnsi="仿宋_GB2312" w:eastAsia="仿宋_GB2312" w:cs="仿宋_GB2312"/>
          <w:color w:val="000000"/>
          <w:sz w:val="32"/>
          <w:szCs w:val="32"/>
          <w:lang w:val="en-US" w:eastAsia="zh-CN"/>
        </w:rPr>
        <w:t xml:space="preserve">6.35 </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2.02</w:t>
      </w:r>
      <w:r>
        <w:rPr>
          <w:rFonts w:hint="eastAsia" w:ascii="仿宋_GB2312" w:hAnsi="仿宋_GB2312" w:eastAsia="仿宋_GB2312" w:cs="仿宋_GB2312"/>
          <w:color w:val="000000"/>
          <w:sz w:val="32"/>
          <w:szCs w:val="32"/>
        </w:rPr>
        <w:t>%；其中：行政事业单位养老支出（款）机关事业单位基本养老保险缴费支出（项）支出</w:t>
      </w:r>
      <w:r>
        <w:rPr>
          <w:rFonts w:hint="eastAsia" w:ascii="仿宋_GB2312" w:hAnsi="仿宋_GB2312" w:eastAsia="仿宋_GB2312" w:cs="仿宋_GB2312"/>
          <w:color w:val="000000"/>
          <w:sz w:val="32"/>
          <w:szCs w:val="32"/>
          <w:lang w:val="en-US" w:eastAsia="zh-CN"/>
        </w:rPr>
        <w:t>5.13</w:t>
      </w:r>
      <w:r>
        <w:rPr>
          <w:rFonts w:hint="eastAsia" w:ascii="仿宋_GB2312" w:hAnsi="仿宋_GB2312" w:eastAsia="仿宋_GB2312" w:cs="仿宋_GB2312"/>
          <w:color w:val="000000"/>
          <w:sz w:val="32"/>
          <w:szCs w:val="32"/>
        </w:rPr>
        <w:t>万元；其他社会保障和就业支出（款）其他社会保障和就业支出（项）</w:t>
      </w:r>
      <w:r>
        <w:rPr>
          <w:rFonts w:hint="eastAsia" w:ascii="仿宋_GB2312" w:hAnsi="仿宋_GB2312" w:eastAsia="仿宋_GB2312" w:cs="仿宋_GB2312"/>
          <w:color w:val="000000"/>
          <w:sz w:val="32"/>
          <w:szCs w:val="32"/>
          <w:lang w:val="en-US" w:eastAsia="zh-CN"/>
        </w:rPr>
        <w:t>1.22</w:t>
      </w:r>
      <w:r>
        <w:rPr>
          <w:rFonts w:hint="eastAsia" w:ascii="仿宋_GB2312" w:hAnsi="仿宋_GB2312" w:eastAsia="仿宋_GB2312" w:cs="仿宋_GB2312"/>
          <w:color w:val="000000"/>
          <w:sz w:val="32"/>
          <w:szCs w:val="32"/>
        </w:rPr>
        <w:t>万元。</w:t>
      </w:r>
    </w:p>
    <w:p w14:paraId="10C2C050">
      <w:pPr>
        <w:keepNext w:val="0"/>
        <w:keepLines w:val="0"/>
        <w:pageBreakBefore w:val="0"/>
        <w:widowControl w:val="0"/>
        <w:wordWrap/>
        <w:overflowPunct w:val="0"/>
        <w:topLinePunct w:val="0"/>
        <w:bidi w:val="0"/>
        <w:adjustRightInd w:val="0"/>
        <w:spacing w:line="590" w:lineRule="exact"/>
        <w:ind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2、卫生健康支出</w:t>
      </w:r>
      <w:r>
        <w:rPr>
          <w:rFonts w:hint="eastAsia" w:ascii="仿宋_GB2312" w:hAnsi="仿宋_GB2312" w:eastAsia="仿宋_GB2312" w:cs="仿宋_GB2312"/>
          <w:color w:val="000000"/>
          <w:sz w:val="32"/>
          <w:szCs w:val="32"/>
          <w:lang w:val="en-US" w:eastAsia="zh-CN"/>
        </w:rPr>
        <w:t xml:space="preserve">8.58 </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2.73</w:t>
      </w:r>
      <w:r>
        <w:rPr>
          <w:rFonts w:hint="eastAsia" w:ascii="仿宋_GB2312" w:hAnsi="仿宋_GB2312" w:eastAsia="仿宋_GB2312" w:cs="仿宋_GB2312"/>
          <w:color w:val="000000"/>
          <w:sz w:val="32"/>
          <w:szCs w:val="32"/>
        </w:rPr>
        <w:t>%；其中：行政事业单位医疗（款）行政单位医疗（项）支出</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万元；行政事业单位医疗（款）事业单位医疗（项）支出</w:t>
      </w:r>
      <w:r>
        <w:rPr>
          <w:rFonts w:hint="eastAsia" w:ascii="仿宋_GB2312" w:hAnsi="仿宋_GB2312" w:eastAsia="仿宋_GB2312" w:cs="仿宋_GB2312"/>
          <w:color w:val="000000"/>
          <w:sz w:val="32"/>
          <w:szCs w:val="32"/>
          <w:lang w:val="en-US" w:eastAsia="zh-CN"/>
        </w:rPr>
        <w:t>1.21</w:t>
      </w:r>
      <w:r>
        <w:rPr>
          <w:rFonts w:hint="eastAsia" w:ascii="仿宋_GB2312" w:hAnsi="仿宋_GB2312" w:eastAsia="仿宋_GB2312" w:cs="仿宋_GB2312"/>
          <w:color w:val="000000"/>
          <w:sz w:val="32"/>
          <w:szCs w:val="32"/>
        </w:rPr>
        <w:t>万元；行政事业单位医疗（款）其他行政事业单位医疗支出（项）6.</w:t>
      </w:r>
      <w:r>
        <w:rPr>
          <w:rFonts w:hint="eastAsia" w:ascii="仿宋_GB2312" w:hAnsi="仿宋_GB2312" w:eastAsia="仿宋_GB2312" w:cs="仿宋_GB2312"/>
          <w:color w:val="000000"/>
          <w:sz w:val="32"/>
          <w:szCs w:val="32"/>
          <w:lang w:val="en-US" w:eastAsia="zh-CN"/>
        </w:rPr>
        <w:t>37</w:t>
      </w:r>
      <w:r>
        <w:rPr>
          <w:rFonts w:hint="eastAsia" w:ascii="仿宋_GB2312" w:hAnsi="仿宋_GB2312" w:eastAsia="仿宋_GB2312" w:cs="仿宋_GB2312"/>
          <w:color w:val="000000"/>
          <w:sz w:val="32"/>
          <w:szCs w:val="32"/>
        </w:rPr>
        <w:t>万元。</w:t>
      </w:r>
    </w:p>
    <w:p w14:paraId="694224CE">
      <w:pPr>
        <w:keepNext w:val="0"/>
        <w:keepLines w:val="0"/>
        <w:pageBreakBefore w:val="0"/>
        <w:widowControl w:val="0"/>
        <w:wordWrap/>
        <w:overflowPunct w:val="0"/>
        <w:topLinePunct w:val="0"/>
        <w:bidi w:val="0"/>
        <w:adjustRightInd w:val="0"/>
        <w:spacing w:line="590" w:lineRule="exact"/>
        <w:ind w:righ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3、住房保障支出</w:t>
      </w:r>
      <w:r>
        <w:rPr>
          <w:rFonts w:hint="eastAsia" w:ascii="仿宋_GB2312" w:hAnsi="仿宋_GB2312" w:eastAsia="仿宋_GB2312" w:cs="仿宋_GB2312"/>
          <w:color w:val="000000"/>
          <w:sz w:val="32"/>
          <w:szCs w:val="32"/>
          <w:lang w:val="en-US" w:eastAsia="zh-CN"/>
        </w:rPr>
        <w:t>3.85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1.22</w:t>
      </w:r>
      <w:r>
        <w:rPr>
          <w:rFonts w:hint="eastAsia" w:ascii="仿宋_GB2312" w:hAnsi="仿宋_GB2312" w:eastAsia="仿宋_GB2312" w:cs="仿宋_GB2312"/>
          <w:color w:val="000000"/>
          <w:sz w:val="32"/>
          <w:szCs w:val="32"/>
        </w:rPr>
        <w:t>%；其中：住房改革支出（款）住房公积金（项）支出</w:t>
      </w:r>
      <w:r>
        <w:rPr>
          <w:rFonts w:hint="eastAsia" w:ascii="仿宋_GB2312" w:hAnsi="仿宋_GB2312" w:eastAsia="仿宋_GB2312" w:cs="仿宋_GB2312"/>
          <w:color w:val="000000"/>
          <w:sz w:val="32"/>
          <w:szCs w:val="32"/>
          <w:lang w:val="en-US" w:eastAsia="zh-CN"/>
        </w:rPr>
        <w:t>3.85</w:t>
      </w:r>
      <w:r>
        <w:rPr>
          <w:rFonts w:hint="eastAsia" w:ascii="仿宋_GB2312" w:hAnsi="仿宋_GB2312" w:eastAsia="仿宋_GB2312" w:cs="仿宋_GB2312"/>
          <w:color w:val="000000"/>
          <w:sz w:val="32"/>
          <w:szCs w:val="32"/>
        </w:rPr>
        <w:t>万元。</w:t>
      </w:r>
    </w:p>
    <w:p w14:paraId="19E7CDA7">
      <w:pPr>
        <w:keepNext w:val="0"/>
        <w:keepLines w:val="0"/>
        <w:pageBreakBefore w:val="0"/>
        <w:widowControl w:val="0"/>
        <w:wordWrap/>
        <w:overflowPunct w:val="0"/>
        <w:topLinePunct w:val="0"/>
        <w:bidi w:val="0"/>
        <w:adjustRightInd w:val="0"/>
        <w:spacing w:line="59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4、粮油物资储备支出万元，占</w:t>
      </w:r>
      <w:r>
        <w:rPr>
          <w:rFonts w:hint="eastAsia" w:ascii="仿宋_GB2312" w:hAnsi="仿宋_GB2312" w:eastAsia="仿宋_GB2312" w:cs="仿宋_GB2312"/>
          <w:color w:val="000000"/>
          <w:sz w:val="32"/>
          <w:szCs w:val="32"/>
          <w:lang w:val="en-US" w:eastAsia="zh-CN"/>
        </w:rPr>
        <w:t>94.03</w:t>
      </w:r>
      <w:r>
        <w:rPr>
          <w:rFonts w:hint="eastAsia" w:ascii="仿宋_GB2312" w:hAnsi="仿宋_GB2312" w:eastAsia="仿宋_GB2312" w:cs="仿宋_GB2312"/>
          <w:color w:val="000000"/>
          <w:sz w:val="32"/>
          <w:szCs w:val="32"/>
        </w:rPr>
        <w:t>%；其中：粮油物资事务（款）行政运行（项）支出</w:t>
      </w:r>
      <w:r>
        <w:rPr>
          <w:rFonts w:hint="eastAsia" w:ascii="仿宋_GB2312" w:hAnsi="仿宋_GB2312" w:eastAsia="仿宋_GB2312" w:cs="仿宋_GB2312"/>
          <w:color w:val="000000"/>
          <w:sz w:val="32"/>
          <w:szCs w:val="32"/>
          <w:lang w:val="en-US" w:eastAsia="zh-CN"/>
        </w:rPr>
        <w:t>149.37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粮油物资事务（款）</w:t>
      </w:r>
      <w:r>
        <w:rPr>
          <w:rFonts w:hint="eastAsia" w:ascii="仿宋_GB2312" w:hAnsi="仿宋_GB2312" w:eastAsia="仿宋_GB2312" w:cs="仿宋_GB2312"/>
          <w:color w:val="000000"/>
          <w:sz w:val="32"/>
          <w:szCs w:val="32"/>
          <w:lang w:eastAsia="zh-CN"/>
        </w:rPr>
        <w:t>粮食财务挂账利息补贴</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lang w:val="en-US" w:eastAsia="zh-CN"/>
        </w:rPr>
        <w:t>38.00万元；</w:t>
      </w:r>
      <w:r>
        <w:rPr>
          <w:rFonts w:hint="eastAsia" w:ascii="仿宋_GB2312" w:hAnsi="仿宋_GB2312" w:eastAsia="仿宋_GB2312" w:cs="仿宋_GB2312"/>
          <w:color w:val="000000"/>
          <w:sz w:val="32"/>
          <w:szCs w:val="32"/>
        </w:rPr>
        <w:t>粮油物资事务（款）</w:t>
      </w:r>
      <w:r>
        <w:rPr>
          <w:rFonts w:hint="eastAsia" w:ascii="仿宋_GB2312" w:hAnsi="仿宋_GB2312" w:eastAsia="仿宋_GB2312" w:cs="仿宋_GB2312"/>
          <w:color w:val="000000"/>
          <w:sz w:val="32"/>
          <w:szCs w:val="32"/>
          <w:lang w:val="en-US" w:eastAsia="zh-CN"/>
        </w:rPr>
        <w:t>其他粮油物资事务支出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s="仿宋_GB2312"/>
          <w:color w:val="000000"/>
          <w:sz w:val="32"/>
          <w:szCs w:val="32"/>
          <w:lang w:val="en-US" w:eastAsia="zh-CN"/>
        </w:rPr>
        <w:t>108.20万元</w:t>
      </w:r>
      <w:r>
        <w:rPr>
          <w:rFonts w:hint="eastAsia" w:ascii="仿宋_GB2312" w:hAnsi="仿宋_GB2312" w:eastAsia="仿宋_GB2312" w:cs="仿宋_GB2312"/>
          <w:color w:val="000000"/>
          <w:sz w:val="32"/>
          <w:szCs w:val="32"/>
        </w:rPr>
        <w:t>。</w:t>
      </w:r>
    </w:p>
    <w:p w14:paraId="4BB22C43">
      <w:pPr>
        <w:keepNext w:val="0"/>
        <w:keepLines w:val="0"/>
        <w:pageBreakBefore w:val="0"/>
        <w:widowControl w:val="0"/>
        <w:wordWrap/>
        <w:overflowPunct w:val="0"/>
        <w:topLinePunct w:val="0"/>
        <w:bidi w:val="0"/>
        <w:adjustRightInd w:val="0"/>
        <w:spacing w:line="590" w:lineRule="exact"/>
        <w:ind w:right="0" w:firstLine="640" w:firstLineChars="200"/>
        <w:textAlignment w:val="auto"/>
        <w:rPr>
          <w:rFonts w:hint="eastAsia" w:ascii="仿宋_GB2312" w:hAnsi="仿宋_GB2312" w:eastAsia="仿宋_GB2312" w:cs="仿宋_GB2312"/>
          <w:color w:val="000000"/>
          <w:sz w:val="32"/>
          <w:szCs w:val="32"/>
        </w:rPr>
      </w:pPr>
    </w:p>
    <w:p w14:paraId="79D76C8C">
      <w:pPr>
        <w:keepNext w:val="0"/>
        <w:keepLines w:val="0"/>
        <w:pageBreakBefore w:val="0"/>
        <w:widowControl w:val="0"/>
        <w:wordWrap/>
        <w:overflowPunct w:val="0"/>
        <w:topLinePunct w:val="0"/>
        <w:bidi w:val="0"/>
        <w:adjustRightInd w:val="0"/>
        <w:spacing w:line="240" w:lineRule="auto"/>
        <w:ind w:right="0" w:firstLine="0" w:firstLineChars="0"/>
        <w:jc w:val="center"/>
        <w:textAlignment w:val="auto"/>
      </w:pPr>
      <w:r>
        <w:drawing>
          <wp:inline distT="0" distB="0" distL="114300" distR="114300">
            <wp:extent cx="4876800" cy="3323590"/>
            <wp:effectExtent l="4445" t="4445" r="10795" b="952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47C50F">
      <w:pPr>
        <w:keepNext w:val="0"/>
        <w:keepLines w:val="0"/>
        <w:pageBreakBefore w:val="0"/>
        <w:widowControl w:val="0"/>
        <w:wordWrap/>
        <w:overflowPunct w:val="0"/>
        <w:topLinePunct w:val="0"/>
        <w:bidi w:val="0"/>
        <w:adjustRightInd w:val="0"/>
        <w:spacing w:line="240" w:lineRule="auto"/>
        <w:ind w:right="0" w:firstLine="0" w:firstLineChars="0"/>
        <w:jc w:val="center"/>
        <w:textAlignment w:val="auto"/>
        <w:rPr>
          <w:rFonts w:hint="eastAsia"/>
        </w:rPr>
      </w:pPr>
    </w:p>
    <w:p w14:paraId="2D27246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706BC50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鹿邑县粮食和物资储备中心2024年一般公共预算基本支出年初预算为67.86万元，其中：人员经费支出65.46万元，占96.46%；公用经费支出2.40万元，占3.54%。</w:t>
      </w:r>
    </w:p>
    <w:p w14:paraId="369FF77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p>
    <w:p w14:paraId="7A599EC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970145" cy="3282315"/>
            <wp:effectExtent l="4445" t="4445" r="16510" b="1524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7048C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0F1843D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一般公共预算基本支出年初预算为67.86万元，其中：人员经费支出65.46万元，占96.46%；主要包括：基本工资24.02万元、津贴补贴4.00万元、奖金9.22万元、绩效工资4.82万元、机关事业单位基本养老保险缴费5.13万元、医疗保险缴费2.21万元、其他社会保障缴费6.68万元、住房公积金3.85万元、退休费4.62万元、生活补助0.91万元。公用经费支出2.40万元，占3.54%。主要包括：办公费0.84万元、其他交通费用1.56万元。</w:t>
      </w:r>
    </w:p>
    <w:p w14:paraId="7D086FA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92F3E8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鹿邑县粮食和物资储备中心2024年机构运行经费支出预算2.40万元，主要保障机关机构正常运转及正常履职需要的办公费、水电费、物业费、维修费、差旅费等支出，与2023年相比增加0.12万元，增长5.26%，主要原因：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6213C9A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01D0EE61">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粮食和物资储备中心2024年预算支出1300.11万元，其中：301工资福利支出135.15万元，主要包括：基本工资89.26万元、津贴补贴8.22万元、奖金9.22万元、绩效工资4.82万元、基本养老保险缴费5.68万元、医疗保险缴费2.43万元、其他社会保障缴费8.25万元、住房公积金7.06万元、其他工资福利性支出0.21万元；302商品和服务支出63.45万元，主要包括：办公费61.89万元、其他交通费用1.56万元；303对个人和家庭的补助支出8.31万元，主要包括：生活补助0.91万元、退休费7.17万元、抚恤金0.23万元等；310资本性支出672.00万元，主要包括：其他资本性支出672.00万元；312对企业补助421.20万元，主要包括：利息补贴76.00万元、其他对企业补助345.20万元等。</w:t>
      </w:r>
    </w:p>
    <w:p w14:paraId="2A35EB4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750DEC7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鹿邑县粮食和物资储备中心2024年“三公”经费预算为0.00万元。2024年“三公”经费支出预算数较2023年持平。</w:t>
      </w:r>
    </w:p>
    <w:p w14:paraId="67E44801">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60469FE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D6689A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52696B5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A40E45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4C9F773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鹿邑县粮食和物资储备中心2024年无政府性基金预算拨款安排的支出。</w:t>
      </w:r>
    </w:p>
    <w:p w14:paraId="4EB6D2E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A1F48C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default"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鹿邑县粮食和物资储备中心2024年国有资本经营预算拨款安排的支出为156.00万元。主要用于：</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B66024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63A35F77">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鹿邑县粮食和物资储备中心</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462DFBA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27EFD70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鹿邑县粮食和物资储备中心</w:t>
      </w:r>
      <w:r>
        <w:rPr>
          <w:rFonts w:hint="eastAsia" w:ascii="仿宋" w:hAnsi="仿宋" w:eastAsia="仿宋" w:cs="仿宋"/>
          <w:snapToGrid/>
          <w:kern w:val="2"/>
          <w:sz w:val="32"/>
          <w:szCs w:val="32"/>
          <w:highlight w:val="none"/>
          <w:lang w:val="en-US" w:eastAsia="zh-CN" w:bidi="ar-SA"/>
        </w:rPr>
        <w:t>纳入预算绩效管理的支出总额为1300.11万元，其中：人员经费支出65.46万元，公用经费支出2.40万元，项目支出总额1,232.25万元。支出项目共36个，其中：预算支出100万元及100万元以上的重点项目3个，支出总额886.20万元。均按要求编制了绩效目标，从项目产出、项目效益、满意度等方面设置了绩效指标，综合反映项目预期完成的数量、实效、质量，预期达到的社会经济效益、可持续影响以及服务对象满意度等情况。</w:t>
      </w:r>
    </w:p>
    <w:p w14:paraId="56AACA9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3E7A8DC3">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1E49642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年期末，</w:t>
      </w:r>
      <w:r>
        <w:rPr>
          <w:rFonts w:hint="eastAsia" w:ascii="仿宋" w:hAnsi="仿宋" w:eastAsia="仿宋" w:cs="仿宋"/>
          <w:snapToGrid/>
          <w:kern w:val="2"/>
          <w:sz w:val="32"/>
          <w:szCs w:val="32"/>
          <w:highlight w:val="none"/>
          <w:lang w:val="en-US" w:eastAsia="zh-CN" w:bidi="ar-SA"/>
        </w:rPr>
        <w:t>鹿邑县粮食和物资储备中心</w:t>
      </w:r>
      <w:r>
        <w:rPr>
          <w:rFonts w:hint="eastAsia" w:ascii="仿宋_GB2312" w:hAnsi="仿宋_GB2312" w:eastAsia="仿宋_GB2312" w:cs="仿宋_GB2312"/>
          <w:sz w:val="32"/>
          <w:szCs w:val="32"/>
          <w:lang w:eastAsia="zh-CN"/>
        </w:rPr>
        <w:t>固定资产总额</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eastAsia="zh-CN"/>
        </w:rPr>
        <w:t>万元，其中：房屋建筑物</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eastAsia="zh-CN"/>
        </w:rPr>
        <w:t>万元，车辆</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eastAsia="zh-CN"/>
        </w:rPr>
        <w:t>万元，办公设备</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000000"/>
          <w:kern w:val="0"/>
          <w:sz w:val="32"/>
          <w:szCs w:val="32"/>
        </w:rPr>
        <w:t>专用设备</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sz w:val="32"/>
          <w:szCs w:val="32"/>
          <w:lang w:eastAsia="zh-CN"/>
        </w:rPr>
        <w:t>。车辆共有</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eastAsia="zh-CN"/>
        </w:rPr>
        <w:t>辆，</w:t>
      </w:r>
      <w:r>
        <w:rPr>
          <w:rFonts w:hint="eastAsia" w:ascii="仿宋_GB2312" w:hAnsi="仿宋_GB2312" w:eastAsia="仿宋_GB2312" w:cs="仿宋_GB2312"/>
          <w:color w:val="000000"/>
          <w:kern w:val="0"/>
          <w:sz w:val="32"/>
          <w:szCs w:val="32"/>
        </w:rPr>
        <w:t>其中：一般公务用车</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color w:val="000000"/>
          <w:kern w:val="0"/>
          <w:sz w:val="32"/>
          <w:szCs w:val="32"/>
        </w:rPr>
        <w:t>辆，执法执勤车</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color w:val="000000"/>
          <w:kern w:val="0"/>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lang w:eastAsia="zh-CN"/>
        </w:rPr>
        <w:t>单价50万元以上通用设备</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eastAsia="zh-CN"/>
        </w:rPr>
        <w:t>台（套），单位价值100万元以上专用设备</w:t>
      </w:r>
      <w:r>
        <w:rPr>
          <w:rFonts w:hint="eastAsia" w:ascii="仿宋_GB2312" w:hAnsi="仿宋_GB2312" w:eastAsia="仿宋_GB2312" w:cs="仿宋_GB2312"/>
          <w:sz w:val="32"/>
          <w:szCs w:val="32"/>
          <w:highlight w:val="yellow"/>
          <w:lang w:val="en-US" w:eastAsia="zh-CN"/>
        </w:rPr>
        <w:t>******</w:t>
      </w:r>
      <w:r>
        <w:rPr>
          <w:rFonts w:hint="eastAsia" w:ascii="仿宋_GB2312" w:hAnsi="仿宋_GB2312" w:eastAsia="仿宋_GB2312" w:cs="仿宋_GB2312"/>
          <w:sz w:val="32"/>
          <w:szCs w:val="32"/>
          <w:lang w:eastAsia="zh-CN"/>
        </w:rPr>
        <w:t>台（套）。</w:t>
      </w:r>
    </w:p>
    <w:p w14:paraId="3930B250">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471FE1AD">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粮食和物资储备中心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63DB5AFE">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39A6B46A">
      <w:pPr>
        <w:keepNext w:val="0"/>
        <w:keepLines w:val="0"/>
        <w:pageBreakBefore w:val="0"/>
        <w:widowControl w:val="0"/>
        <w:wordWrap/>
        <w:overflowPunct w:val="0"/>
        <w:topLinePunct w:val="0"/>
        <w:bidi w:val="0"/>
        <w:adjustRightInd w:val="0"/>
        <w:spacing w:line="570" w:lineRule="exact"/>
        <w:ind w:right="0" w:firstLine="640" w:firstLineChars="200"/>
        <w:textAlignment w:val="auto"/>
        <w:rPr>
          <w:rFonts w:ascii="仿宋_GB2312" w:hAnsi="仿宋_GB2312" w:eastAsia="仿宋_GB2312" w:cs="仿宋_GB2312"/>
          <w:b/>
          <w:sz w:val="32"/>
          <w:szCs w:val="32"/>
          <w:highlight w:val="yellow"/>
        </w:rPr>
      </w:pPr>
      <w:r>
        <w:rPr>
          <w:rFonts w:hint="eastAsia" w:ascii="仿宋_GB2312" w:hAnsi="仿宋_GB2312" w:eastAsia="仿宋_GB2312" w:cs="仿宋_GB2312"/>
          <w:color w:val="000000"/>
          <w:sz w:val="32"/>
          <w:szCs w:val="32"/>
        </w:rPr>
        <w:t>鹿邑县粮食和物资储备中心202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年没有债务收入支出项目安排。</w:t>
      </w:r>
    </w:p>
    <w:p w14:paraId="02E2A30D">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p>
    <w:p w14:paraId="7F454014">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03C561D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092AB9A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4971511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0E7F7FD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07E29E6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22AB681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043CE60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1205A9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2911F2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78299C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104E5A7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4B72414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756494F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6F8880B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76CDBF1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附件：鹿邑县粮食和物资储备中心2024年度部门</w:t>
      </w:r>
      <w:bookmarkStart w:id="0" w:name="_GoBack"/>
      <w:bookmarkEnd w:id="0"/>
      <w:r>
        <w:rPr>
          <w:rFonts w:hint="eastAsia" w:ascii="仿宋" w:hAnsi="仿宋" w:eastAsia="仿宋" w:cs="仿宋"/>
          <w:snapToGrid/>
          <w:kern w:val="2"/>
          <w:sz w:val="32"/>
          <w:szCs w:val="32"/>
          <w:highlight w:val="none"/>
          <w:lang w:val="en-US" w:eastAsia="zh-CN" w:bidi="ar-SA"/>
        </w:rPr>
        <w:t>预算表</w:t>
      </w:r>
    </w:p>
    <w:p w14:paraId="7AD82FDA">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701" w:bottom="1440" w:left="1701"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06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8D7B36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PIOxIgICAAALBAAADgAAAAAAAAABACAAAAAfAQAAZHJzL2Uyb0Rv&#10;Yy54bWxQSwUGAAAAAAYABgBZAQAAkwUAAAAA&#10;">
              <v:fill on="f" focussize="0,0"/>
              <v:stroke on="f"/>
              <v:imagedata o:title=""/>
              <o:lock v:ext="edit" aspectratio="f"/>
              <v:textbox inset="0mm,0mm,0mm,0mm" style="mso-fit-shape-to-text:t;">
                <w:txbxContent>
                  <w:p w14:paraId="18D7B36E">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yOTJiODMyZjg1NTkwYjY0YjUzZmE1ZjRkM2NhOWUifQ=="/>
  </w:docVars>
  <w:rsids>
    <w:rsidRoot w:val="00000000"/>
    <w:rsid w:val="01C26F76"/>
    <w:rsid w:val="0EF83A92"/>
    <w:rsid w:val="2E331138"/>
    <w:rsid w:val="58E0267E"/>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hAnsi="仿宋_GB2312" w:eastAsia="仿宋_GB2312" w:cs="仿宋_GB2312"/>
      <w:sz w:val="30"/>
      <w:szCs w:val="30"/>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9">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jcl\Desktop\&#40575;&#37009;&#39044;&#31639;&#20844;&#24320;&#22270;&#34920;&#27169;&#26495;(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manualLayout>
          <c:layoutTarget val="inner"/>
          <c:xMode val="edge"/>
          <c:yMode val="edge"/>
          <c:x val="0.101072961373391"/>
          <c:y val="0.171621621621622"/>
          <c:w val="0.867811158798283"/>
          <c:h val="0.719459459459459"/>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1300.11</c:v>
                </c:pt>
                <c:pt idx="1" c:formatCode="#.00&quot;万&quot;&quot;元&quot;">
                  <c:v>1133.32</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
                  <c:y val="-0.59971567177883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20521052631579"/>
                  <c:y val="0.31681991342987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2790370201862"/>
                  <c:y val="0"/>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1705263157895"/>
                      <c:h val="0.177245508982036"/>
                    </c:manualLayout>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'[鹿邑预算公开图表模板(1).xlsx]Sheet1'!$D$20:$G$20</c:f>
              <c:strCache>
                <c:ptCount val="4"/>
                <c:pt idx="0">
                  <c:v>上年结转结余收入</c:v>
                </c:pt>
                <c:pt idx="1">
                  <c:v>一般公共预算</c:v>
                </c:pt>
                <c:pt idx="2">
                  <c:v>政府性基金</c:v>
                </c:pt>
                <c:pt idx="3">
                  <c:v>国有资本经营</c:v>
                </c:pt>
              </c:strCache>
            </c:strRef>
          </c:cat>
          <c:val>
            <c:numRef>
              <c:f>'[鹿邑预算公开图表模板(1).xlsx]Sheet1'!$D$21:$G$21</c:f>
              <c:numCache>
                <c:formatCode>#.00"万""元"</c:formatCode>
                <c:ptCount val="4"/>
                <c:pt idx="0">
                  <c:v>829.76</c:v>
                </c:pt>
                <c:pt idx="1">
                  <c:v>314.35</c:v>
                </c:pt>
                <c:pt idx="3" c:formatCode="#0.00&quot;万&quot;&quot;元&quot;">
                  <c:v>156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67.86</c:v>
                </c:pt>
                <c:pt idx="1">
                  <c:v>1232.25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1144.11</c:v>
                </c:pt>
                <c:pt idx="1">
                  <c:v>1027.32</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国有资本经营变动情况图</a:t>
            </a:r>
          </a:p>
        </c:rich>
      </c:tx>
      <c:layout/>
      <c:overlay val="0"/>
      <c:spPr>
        <a:noFill/>
        <a:ln>
          <a:noFill/>
        </a:ln>
        <a:effectLst/>
      </c:spPr>
    </c:title>
    <c:autoTitleDeleted val="0"/>
    <c:plotArea>
      <c:layout>
        <c:manualLayout>
          <c:layoutTarget val="inner"/>
          <c:xMode val="edge"/>
          <c:yMode val="edge"/>
          <c:x val="0.0978540772532183"/>
          <c:y val="0.17972972972973"/>
          <c:w val="0.867811158798283"/>
          <c:h val="0.644459459459459"/>
        </c:manualLayout>
      </c:layout>
      <c:barChart>
        <c:barDir val="col"/>
        <c:grouping val="clustered"/>
        <c:varyColors val="0"/>
        <c:ser>
          <c:idx val="0"/>
          <c:order val="0"/>
          <c:spPr>
            <a:solidFill>
              <a:schemeClr val="accent1"/>
            </a:solidFill>
            <a:ln>
              <a:noFill/>
            </a:ln>
            <a:effectLst/>
          </c:spPr>
          <c:invertIfNegative val="0"/>
          <c:dLbls>
            <c:dLbl>
              <c:idx val="0"/>
              <c:layout>
                <c:manualLayout>
                  <c:x val="-0.00480512546716498"/>
                  <c:y val="0.0147389969293756"/>
                </c:manualLayout>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eparator>
</c:separator>
              <c:extLst>
                <c:ext xmlns:c15="http://schemas.microsoft.com/office/drawing/2012/chart" uri="{CE6537A1-D6FC-4f65-9D91-7224C49458BB}">
                  <c15:layout/>
                </c:ext>
              </c:extLst>
            </c:dLbl>
            <c:dLbl>
              <c:idx val="1"/>
              <c:layout>
                <c:manualLayout>
                  <c:x val="0"/>
                  <c:y val="-0.0147389969293756"/>
                </c:manualLayout>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eparator>
</c:separator>
              <c:extLst>
                <c:ext xmlns:c15="http://schemas.microsoft.com/office/drawing/2012/chart" uri="{CE6537A1-D6FC-4f65-9D91-7224C49458BB}">
                  <c15:layout/>
                </c:ext>
              </c:extLst>
            </c:dLbl>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[鹿邑预算公开图表模板.xlsx]Sheet1!$D$100:$E$100</c:f>
              <c:strCache>
                <c:ptCount val="2"/>
                <c:pt idx="0">
                  <c:v>2024年</c:v>
                </c:pt>
                <c:pt idx="1">
                  <c:v>2023年</c:v>
                </c:pt>
              </c:strCache>
            </c:strRef>
          </c:cat>
          <c:val>
            <c:numRef>
              <c:f>[鹿邑预算公开图表模板.xlsx]Sheet1!$D$101:$E$101</c:f>
              <c:numCache>
                <c:formatCode>#,##0.00</c:formatCode>
                <c:ptCount val="2"/>
                <c:pt idx="0">
                  <c:v>156</c:v>
                </c:pt>
                <c:pt idx="1">
                  <c:v>106</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287443826980527"/>
                  <c:y val="-0.18357978248613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264040871080438"/>
                  <c:y val="0.19061399258067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177656970105543"/>
                    </c:manualLayout>
                  </c15:layout>
                </c:ext>
              </c:extLst>
            </c:dLbl>
            <c:dLbl>
              <c:idx val="2"/>
              <c:layout>
                <c:manualLayout>
                  <c:x val="-0.297213545821392"/>
                  <c:y val="-0.0771255346522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300488157894737"/>
                      <c:h val="0.17311173053925"/>
                    </c:manualLayout>
                  </c15:layout>
                </c:ext>
              </c:extLst>
            </c:dLbl>
            <c:dLbl>
              <c:idx val="3"/>
              <c:layout>
                <c:manualLayout>
                  <c:x val="0.367121476807294"/>
                  <c:y val="0.01742788152481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243994420642422"/>
                    </c:manualLayout>
                  </c15:layout>
                </c:ext>
              </c:extLst>
            </c:dLbl>
            <c:dLbl>
              <c:idx val="4"/>
              <c:layout>
                <c:manualLayout>
                  <c:x val="0.109375"/>
                  <c:y val="0.2023776257558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[鹿邑预算公开图表模板.xlsx]Sheet1!$D$120:$D$125</c:f>
              <c:strCache>
                <c:ptCount val="6"/>
                <c:pt idx="0">
                  <c:v>粮油物资储备支出</c:v>
                </c:pt>
                <c:pt idx="1">
                  <c:v>社会保障和就业支出</c:v>
                </c:pt>
                <c:pt idx="2">
                  <c:v>卫生健康支出</c:v>
                </c:pt>
                <c:pt idx="3">
                  <c:v>住房保障支出</c:v>
                </c:pt>
              </c:strCache>
            </c:strRef>
          </c:cat>
          <c:val>
            <c:numRef>
              <c:f>[鹿邑预算公开图表模板.xlsx]Sheet1!$E$120:$E$125</c:f>
              <c:numCache>
                <c:formatCode>#.00"万""元"</c:formatCode>
                <c:ptCount val="6"/>
                <c:pt idx="0">
                  <c:v>295.57</c:v>
                </c:pt>
                <c:pt idx="1">
                  <c:v>6.35</c:v>
                </c:pt>
                <c:pt idx="2">
                  <c:v>8.58</c:v>
                </c:pt>
                <c:pt idx="3">
                  <c:v>3.85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4479166666667"/>
          <c:y val="0.87237294612151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95000888102337"/>
                  <c:y val="-9.01203628391724e-1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348998150324641"/>
                  <c:y val="-0.014414742369745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[鹿邑预算公开图表模板.xlsx]Sheet1!$D$145:$D$146</c:f>
              <c:strCache>
                <c:ptCount val="2"/>
                <c:pt idx="0">
                  <c:v>人员经费</c:v>
                </c:pt>
                <c:pt idx="1">
                  <c:v>公用经费</c:v>
                </c:pt>
              </c:strCache>
            </c:strRef>
          </c:cat>
          <c:val>
            <c:numRef>
              <c:f>[鹿邑预算公开图表模板.xlsx]Sheet1!$E$145:$E$146</c:f>
              <c:numCache>
                <c:formatCode>#.00"万""元"</c:formatCode>
                <c:ptCount val="2"/>
                <c:pt idx="0">
                  <c:v>65.46</c:v>
                </c:pt>
                <c:pt idx="1">
                  <c:v>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3782b-0405-42b7-bfec-749e71f56205}">
  <ds:schemaRefs/>
</ds:datastoreItem>
</file>

<file path=customXml/itemProps3.xml><?xml version="1.0" encoding="utf-8"?>
<ds:datastoreItem xmlns:ds="http://schemas.openxmlformats.org/officeDocument/2006/customXml" ds:itemID="{083011fa-469f-4106-8dd9-e6080a6fea5b}">
  <ds:schemaRefs/>
</ds:datastoreItem>
</file>

<file path=customXml/itemProps4.xml><?xml version="1.0" encoding="utf-8"?>
<ds:datastoreItem xmlns:ds="http://schemas.openxmlformats.org/officeDocument/2006/customXml" ds:itemID="{0e5c60cb-5f04-4196-8563-c90ab916e3bb}">
  <ds:schemaRefs/>
</ds:datastoreItem>
</file>

<file path=docProps/app.xml><?xml version="1.0" encoding="utf-8"?>
<Properties xmlns="http://schemas.openxmlformats.org/officeDocument/2006/extended-properties" xmlns:vt="http://schemas.openxmlformats.org/officeDocument/2006/docPropsVTypes">
  <Pages>16</Pages>
  <Words>4911</Words>
  <Characters>5609</Characters>
  <TotalTime>72</TotalTime>
  <ScaleCrop>false</ScaleCrop>
  <LinksUpToDate>false</LinksUpToDate>
  <CharactersWithSpaces>5622</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2024-08-18T06:02:06Z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