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olors1.xml" ContentType="application/vnd.ms-office.chartcolorstyle+xml"/>
  <Override PartName="/word/charts/colors2.xml" ContentType="application/vnd.ms-office.chartcolorstyle+xml"/>
  <Override PartName="/word/charts/colors3.xml" ContentType="application/vnd.ms-office.chartcolorstyle+xml"/>
  <Override PartName="/word/charts/colors4.xml" ContentType="application/vnd.ms-office.chartcolorstyle+xml"/>
  <Override PartName="/word/charts/colors5.xml" ContentType="application/vnd.ms-office.chartcolorstyle+xml"/>
  <Override PartName="/word/charts/colors6.xml" ContentType="application/vnd.ms-office.chartcolorstyle+xml"/>
  <Override PartName="/word/charts/colors7.xml" ContentType="application/vnd.ms-office.chartcolorstyle+xml"/>
  <Override PartName="/word/charts/style1.xml" ContentType="application/vnd.ms-office.chartstyle+xml"/>
  <Override PartName="/word/charts/style2.xml" ContentType="application/vnd.ms-office.chartstyle+xml"/>
  <Override PartName="/word/charts/style3.xml" ContentType="application/vnd.ms-office.chartstyle+xml"/>
  <Override PartName="/word/charts/style4.xml" ContentType="application/vnd.ms-office.chartstyle+xml"/>
  <Override PartName="/word/charts/style5.xml" ContentType="application/vnd.ms-office.chartstyle+xml"/>
  <Override PartName="/word/charts/style6.xml" ContentType="application/vnd.ms-office.chartstyle+xml"/>
  <Override PartName="/word/charts/style7.xml" ContentType="application/vnd.ms-office.chartstyle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F0F9C2">
      <w:pPr>
        <w:widowControl w:val="0"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107458AF">
      <w:pPr>
        <w:widowControl w:val="0"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3103692C">
      <w:pPr>
        <w:widowControl w:val="0"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7CC1F66E">
      <w:pPr>
        <w:widowControl w:val="0"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325614A8">
      <w:pPr>
        <w:widowControl w:val="0"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12E6D507">
      <w:pPr>
        <w:widowControl w:val="0"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2564C4FC">
      <w:pPr>
        <w:widowControl w:val="0"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70D2C680">
      <w:pPr>
        <w:widowControl w:val="0"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2B3A874D">
      <w:pPr>
        <w:widowControl w:val="0"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鹿邑县创业就业服务中心</w:t>
      </w:r>
    </w:p>
    <w:p w14:paraId="4377BFF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78" w:lineRule="exact"/>
        <w:jc w:val="center"/>
        <w:textAlignment w:val="baseline"/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:lang w:val="en-US" w:eastAsia="zh-CN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2024年单位预算</w:t>
      </w:r>
    </w:p>
    <w:p w14:paraId="114B1B9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78" w:lineRule="exact"/>
        <w:jc w:val="center"/>
        <w:textAlignment w:val="baseline"/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362DEDD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78" w:lineRule="exact"/>
        <w:jc w:val="center"/>
        <w:textAlignment w:val="baseline"/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07884F4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78" w:lineRule="exact"/>
        <w:jc w:val="center"/>
        <w:textAlignment w:val="baseline"/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21F4F42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78" w:lineRule="exact"/>
        <w:jc w:val="center"/>
        <w:textAlignment w:val="baseline"/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4E9D275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78" w:lineRule="exact"/>
        <w:jc w:val="center"/>
        <w:textAlignment w:val="baseline"/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1C9B141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78" w:lineRule="exact"/>
        <w:jc w:val="center"/>
        <w:textAlignment w:val="baseline"/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3D1D7B0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78" w:lineRule="exact"/>
        <w:jc w:val="center"/>
        <w:textAlignment w:val="baseline"/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4F1DF03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78" w:lineRule="exact"/>
        <w:jc w:val="center"/>
        <w:textAlignment w:val="baseline"/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二○二</w:t>
      </w:r>
      <w:r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:lang w:val="en-US" w:eastAsia="zh-CN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四</w:t>
      </w:r>
      <w:r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年</w:t>
      </w:r>
      <w:r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:lang w:val="en-US" w:eastAsia="zh-CN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三</w:t>
      </w:r>
      <w:r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月</w:t>
      </w:r>
    </w:p>
    <w:p w14:paraId="1298237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78" w:lineRule="exact"/>
        <w:jc w:val="center"/>
        <w:textAlignment w:val="baseline"/>
        <w:rPr>
          <w:rFonts w:hint="eastAsia" w:ascii="宋体" w:hAnsi="宋体" w:eastAsia="宋体" w:cs="宋体"/>
          <w:b/>
          <w:bCs/>
          <w:sz w:val="43"/>
          <w:szCs w:val="43"/>
          <w:highlight w:val="none"/>
        </w:rPr>
      </w:pPr>
      <w:r>
        <w:rPr>
          <w:rFonts w:hint="eastAsia" w:ascii="宋体" w:hAnsi="宋体" w:eastAsia="宋体" w:cs="宋体"/>
          <w:b/>
          <w:bCs/>
          <w:spacing w:val="-21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目</w:t>
      </w:r>
      <w:r>
        <w:rPr>
          <w:rFonts w:hint="eastAsia" w:ascii="宋体" w:hAnsi="宋体" w:eastAsia="宋体" w:cs="宋体"/>
          <w:b/>
          <w:bCs/>
          <w:spacing w:val="-2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录</w:t>
      </w:r>
    </w:p>
    <w:p w14:paraId="27167B0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" w:line="568" w:lineRule="atLeast"/>
        <w:ind w:left="0"/>
        <w:jc w:val="left"/>
        <w:textAlignment w:val="baseline"/>
        <w:rPr>
          <w:rFonts w:ascii="黑体" w:hAnsi="黑体" w:eastAsia="黑体" w:cs="黑体"/>
          <w:sz w:val="31"/>
          <w:szCs w:val="31"/>
          <w:highlight w:val="none"/>
        </w:rPr>
      </w:pP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第一部分</w:t>
      </w:r>
      <w:r>
        <w:rPr>
          <w:rFonts w:hint="eastAsia" w:ascii="黑体" w:hAnsi="黑体" w:eastAsia="黑体" w:cs="黑体"/>
          <w:spacing w:val="11"/>
          <w:sz w:val="31"/>
          <w:szCs w:val="31"/>
          <w:highlight w:val="none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z w:val="31"/>
          <w:szCs w:val="31"/>
          <w:highlight w:val="none"/>
        </w:rPr>
        <w:t>鹿邑县创业就业服务中心</w:t>
      </w: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概况</w:t>
      </w:r>
    </w:p>
    <w:p w14:paraId="33413AF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4" w:line="568" w:lineRule="atLeast"/>
        <w:ind w:left="18"/>
        <w:jc w:val="both"/>
        <w:textAlignment w:val="baseline"/>
        <w:rPr>
          <w:rFonts w:ascii="仿宋" w:hAnsi="仿宋" w:eastAsia="仿宋" w:cs="仿宋"/>
          <w:sz w:val="31"/>
          <w:szCs w:val="31"/>
          <w:highlight w:val="none"/>
        </w:rPr>
      </w:pPr>
      <w:r>
        <w:rPr>
          <w:rFonts w:ascii="仿宋" w:hAnsi="仿宋" w:eastAsia="仿宋" w:cs="仿宋"/>
          <w:color w:val="313131"/>
          <w:spacing w:val="7"/>
          <w:sz w:val="31"/>
          <w:szCs w:val="31"/>
          <w:highlight w:val="none"/>
        </w:rPr>
        <w:t>一、主要职</w:t>
      </w:r>
      <w:r>
        <w:rPr>
          <w:rFonts w:ascii="仿宋" w:hAnsi="仿宋" w:eastAsia="仿宋" w:cs="仿宋"/>
          <w:color w:val="313131"/>
          <w:spacing w:val="6"/>
          <w:sz w:val="31"/>
          <w:szCs w:val="31"/>
          <w:highlight w:val="none"/>
        </w:rPr>
        <w:t>责</w:t>
      </w:r>
    </w:p>
    <w:p w14:paraId="574B9DA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8" w:lineRule="atLeast"/>
        <w:ind w:left="22"/>
        <w:textAlignment w:val="baseline"/>
        <w:rPr>
          <w:rFonts w:hint="eastAsia" w:ascii="仿宋" w:hAnsi="仿宋" w:eastAsia="仿宋" w:cs="仿宋"/>
          <w:color w:val="313131"/>
          <w:spacing w:val="9"/>
          <w:sz w:val="31"/>
          <w:szCs w:val="31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313131"/>
          <w:spacing w:val="9"/>
          <w:sz w:val="31"/>
          <w:szCs w:val="31"/>
          <w:highlight w:val="none"/>
          <w:lang w:val="en-US" w:eastAsia="zh-CN"/>
        </w:rPr>
        <w:t>二、鹿邑县创业就业服务中心</w:t>
      </w:r>
      <w:r>
        <w:rPr>
          <w:rFonts w:ascii="仿宋" w:hAnsi="仿宋" w:eastAsia="仿宋" w:cs="仿宋"/>
          <w:color w:val="313131"/>
          <w:spacing w:val="9"/>
          <w:sz w:val="31"/>
          <w:szCs w:val="31"/>
          <w:highlight w:val="none"/>
        </w:rPr>
        <w:t>预算单位构成</w:t>
      </w:r>
    </w:p>
    <w:p w14:paraId="5A19936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" w:line="568" w:lineRule="atLeast"/>
        <w:ind w:left="0"/>
        <w:jc w:val="left"/>
        <w:textAlignment w:val="baseline"/>
        <w:rPr>
          <w:rFonts w:ascii="黑体" w:hAnsi="黑体" w:eastAsia="黑体" w:cs="黑体"/>
          <w:spacing w:val="11"/>
          <w:sz w:val="31"/>
          <w:szCs w:val="31"/>
          <w:highlight w:val="none"/>
        </w:rPr>
      </w:pP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第二部分</w:t>
      </w:r>
      <w:r>
        <w:rPr>
          <w:rFonts w:hint="eastAsia" w:ascii="黑体" w:hAnsi="黑体" w:eastAsia="黑体" w:cs="黑体"/>
          <w:spacing w:val="11"/>
          <w:sz w:val="31"/>
          <w:szCs w:val="31"/>
          <w:highlight w:val="none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pacing w:val="11"/>
          <w:sz w:val="31"/>
          <w:szCs w:val="31"/>
          <w:highlight w:val="none"/>
        </w:rPr>
        <w:t>鹿邑县创业就业服务中心</w:t>
      </w: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202</w:t>
      </w:r>
      <w:r>
        <w:rPr>
          <w:rFonts w:hint="eastAsia" w:ascii="黑体" w:hAnsi="黑体" w:eastAsia="黑体" w:cs="黑体"/>
          <w:spacing w:val="11"/>
          <w:sz w:val="31"/>
          <w:szCs w:val="31"/>
          <w:highlight w:val="none"/>
          <w:lang w:val="en-US" w:eastAsia="zh-CN"/>
        </w:rPr>
        <w:t>4</w:t>
      </w: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年</w:t>
      </w:r>
      <w:r>
        <w:rPr>
          <w:rFonts w:hint="eastAsia" w:ascii="黑体" w:hAnsi="黑体" w:eastAsia="黑体" w:cs="黑体"/>
          <w:spacing w:val="11"/>
          <w:sz w:val="31"/>
          <w:szCs w:val="31"/>
          <w:highlight w:val="none"/>
          <w:lang w:val="en-US" w:eastAsia="zh-CN"/>
        </w:rPr>
        <w:t>单位</w:t>
      </w: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预算情况说明</w:t>
      </w:r>
    </w:p>
    <w:p w14:paraId="27CDCB8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" w:line="568" w:lineRule="atLeast"/>
        <w:ind w:left="0"/>
        <w:jc w:val="left"/>
        <w:textAlignment w:val="baseline"/>
        <w:rPr>
          <w:rFonts w:ascii="黑体" w:hAnsi="黑体" w:eastAsia="黑体" w:cs="黑体"/>
          <w:spacing w:val="11"/>
          <w:sz w:val="31"/>
          <w:szCs w:val="31"/>
          <w:highlight w:val="none"/>
        </w:rPr>
      </w:pP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第三部分</w:t>
      </w:r>
      <w:r>
        <w:rPr>
          <w:rFonts w:hint="eastAsia" w:ascii="黑体" w:hAnsi="黑体" w:eastAsia="黑体" w:cs="黑体"/>
          <w:spacing w:val="11"/>
          <w:sz w:val="31"/>
          <w:szCs w:val="31"/>
          <w:highlight w:val="none"/>
          <w:lang w:val="en-US" w:eastAsia="zh-CN"/>
        </w:rPr>
        <w:t xml:space="preserve">  </w:t>
      </w: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名词解释</w:t>
      </w:r>
    </w:p>
    <w:p w14:paraId="57D090F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" w:line="568" w:lineRule="atLeast"/>
        <w:ind w:left="0"/>
        <w:jc w:val="left"/>
        <w:textAlignment w:val="baseline"/>
        <w:rPr>
          <w:rFonts w:ascii="黑体" w:hAnsi="黑体" w:eastAsia="黑体" w:cs="黑体"/>
          <w:spacing w:val="11"/>
          <w:sz w:val="31"/>
          <w:szCs w:val="31"/>
          <w:highlight w:val="none"/>
        </w:rPr>
      </w:pP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附件：</w:t>
      </w:r>
      <w:r>
        <w:rPr>
          <w:rFonts w:hint="eastAsia" w:ascii="黑体" w:hAnsi="黑体" w:eastAsia="黑体" w:cs="黑体"/>
          <w:spacing w:val="11"/>
          <w:sz w:val="31"/>
          <w:szCs w:val="31"/>
          <w:highlight w:val="none"/>
        </w:rPr>
        <w:t>鹿邑县创业就业服务中心</w:t>
      </w: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202</w:t>
      </w:r>
      <w:r>
        <w:rPr>
          <w:rFonts w:hint="eastAsia" w:ascii="黑体" w:hAnsi="黑体" w:eastAsia="黑体" w:cs="黑体"/>
          <w:spacing w:val="11"/>
          <w:sz w:val="31"/>
          <w:szCs w:val="31"/>
          <w:highlight w:val="none"/>
          <w:lang w:val="en-US" w:eastAsia="zh-CN"/>
        </w:rPr>
        <w:t>4</w:t>
      </w: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年</w:t>
      </w:r>
      <w:r>
        <w:rPr>
          <w:rFonts w:hint="eastAsia" w:ascii="黑体" w:hAnsi="黑体" w:eastAsia="黑体" w:cs="黑体"/>
          <w:spacing w:val="11"/>
          <w:sz w:val="31"/>
          <w:szCs w:val="31"/>
          <w:highlight w:val="none"/>
          <w:lang w:val="en-US" w:eastAsia="zh-CN"/>
        </w:rPr>
        <w:t>单位</w:t>
      </w: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预算表</w:t>
      </w:r>
    </w:p>
    <w:p w14:paraId="5FDB7A8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68" w:lineRule="atLeast"/>
        <w:ind w:left="22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一、2024年单位收支总体情况表</w:t>
      </w:r>
    </w:p>
    <w:p w14:paraId="5A6B09B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68" w:lineRule="atLeast"/>
        <w:ind w:left="22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二、2024年单位收入总体情况表</w:t>
      </w:r>
    </w:p>
    <w:p w14:paraId="271FF1C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68" w:lineRule="atLeast"/>
        <w:ind w:left="22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三、2024年单位支出总体情况表</w:t>
      </w:r>
    </w:p>
    <w:p w14:paraId="78CBA87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68" w:lineRule="atLeast"/>
        <w:ind w:left="22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四、2024年财政拨款收支总体情况表</w:t>
      </w:r>
    </w:p>
    <w:p w14:paraId="4089383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68" w:lineRule="atLeast"/>
        <w:ind w:left="22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五、2024年一般公共预算支出情况表</w:t>
      </w:r>
    </w:p>
    <w:p w14:paraId="0985270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68" w:lineRule="atLeast"/>
        <w:ind w:left="22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六、2024年一般公共预算基本支出表</w:t>
      </w:r>
    </w:p>
    <w:p w14:paraId="733A779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68" w:lineRule="atLeast"/>
        <w:ind w:left="22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七、2024年一般公共预算基本支出明细表</w:t>
      </w:r>
    </w:p>
    <w:p w14:paraId="4625FA1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68" w:lineRule="atLeast"/>
        <w:ind w:left="22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八、2024年行政（事业）单位机构运行经费情况表</w:t>
      </w:r>
    </w:p>
    <w:p w14:paraId="1B733DA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68" w:lineRule="atLeast"/>
        <w:ind w:left="22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九、2024年支出经济分类汇总表</w:t>
      </w:r>
    </w:p>
    <w:p w14:paraId="37E66EA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68" w:lineRule="atLeast"/>
        <w:ind w:left="22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十、2024年一般公共预算“三公”经费支出情况表</w:t>
      </w:r>
    </w:p>
    <w:p w14:paraId="66C4D37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68" w:lineRule="atLeast"/>
        <w:ind w:left="22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十一、2024年政府性基金预算支出情况表</w:t>
      </w:r>
    </w:p>
    <w:p w14:paraId="02E9D8F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68" w:lineRule="atLeast"/>
        <w:ind w:left="22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十二、2024年国有资本经营预算支出表</w:t>
      </w:r>
    </w:p>
    <w:p w14:paraId="0930F34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68" w:lineRule="atLeast"/>
        <w:ind w:left="22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十三、2024年政府采购预算表</w:t>
      </w:r>
    </w:p>
    <w:p w14:paraId="2D75E97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68" w:lineRule="atLeast"/>
        <w:ind w:left="22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十四、2024年项目支出表</w:t>
      </w:r>
    </w:p>
    <w:p w14:paraId="60DB72A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68" w:lineRule="atLeast"/>
        <w:ind w:left="22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十五、2024年单位整体绩效目标表</w:t>
      </w:r>
    </w:p>
    <w:p w14:paraId="0244E5C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68" w:lineRule="atLeast"/>
        <w:ind w:left="22"/>
        <w:textAlignment w:val="baseline"/>
        <w:rPr>
          <w:rFonts w:hint="eastAsia" w:ascii="仿宋" w:hAnsi="仿宋" w:eastAsia="仿宋" w:cs="仿宋"/>
          <w:spacing w:val="8"/>
          <w:sz w:val="31"/>
          <w:szCs w:val="31"/>
          <w:highlight w:val="none"/>
          <w:lang w:val="en-US" w:eastAsia="zh-CN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十六、2024年单位预算项目绩效目标</w:t>
      </w:r>
      <w:r>
        <w:rPr>
          <w:rFonts w:hint="eastAsia" w:ascii="仿宋" w:hAnsi="仿宋" w:eastAsia="仿宋" w:cs="仿宋"/>
          <w:spacing w:val="11"/>
          <w:sz w:val="31"/>
          <w:szCs w:val="31"/>
          <w:highlight w:val="none"/>
          <w:lang w:val="en-US" w:eastAsia="zh-CN"/>
        </w:rPr>
        <w:t>汇总</w:t>
      </w: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表</w:t>
      </w:r>
    </w:p>
    <w:p w14:paraId="41D6AEE0">
      <w:pPr>
        <w:rPr>
          <w:rFonts w:hint="eastAsia" w:ascii="仿宋" w:hAnsi="仿宋" w:eastAsia="仿宋" w:cs="仿宋"/>
          <w:spacing w:val="8"/>
          <w:sz w:val="31"/>
          <w:szCs w:val="31"/>
          <w:highlight w:val="none"/>
          <w:lang w:val="en-US" w:eastAsia="zh-CN"/>
        </w:rPr>
      </w:pPr>
      <w:r>
        <w:br w:type="page"/>
      </w:r>
    </w:p>
    <w:p w14:paraId="489EBBA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578" w:lineRule="atLeast"/>
        <w:ind w:left="0"/>
        <w:jc w:val="center"/>
        <w:textAlignment w:val="baseline"/>
        <w:rPr>
          <w:rFonts w:hint="eastAsia" w:ascii="黑体" w:hAnsi="黑体" w:eastAsia="黑体" w:cs="黑体"/>
          <w:spacing w:val="19"/>
          <w:sz w:val="31"/>
          <w:szCs w:val="31"/>
          <w:highlight w:val="none"/>
          <w:lang w:eastAsia="zh-CN"/>
        </w:rPr>
      </w:pPr>
      <w:r>
        <w:rPr>
          <w:rFonts w:hint="eastAsia" w:ascii="黑体" w:hAnsi="黑体" w:eastAsia="黑体" w:cs="黑体"/>
          <w:spacing w:val="19"/>
          <w:sz w:val="31"/>
          <w:szCs w:val="31"/>
          <w:highlight w:val="none"/>
        </w:rPr>
        <w:t>第一部分</w:t>
      </w:r>
    </w:p>
    <w:p w14:paraId="5AAA114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578" w:lineRule="atLeast"/>
        <w:ind w:left="0"/>
        <w:jc w:val="center"/>
        <w:textAlignment w:val="baseline"/>
        <w:rPr>
          <w:rFonts w:ascii="黑体" w:hAnsi="黑体" w:eastAsia="黑体" w:cs="黑体"/>
          <w:spacing w:val="19"/>
          <w:sz w:val="31"/>
          <w:szCs w:val="31"/>
          <w:highlight w:val="none"/>
        </w:rPr>
      </w:pPr>
      <w:r>
        <w:rPr>
          <w:rFonts w:hint="eastAsia" w:ascii="黑体" w:hAnsi="黑体" w:eastAsia="黑体" w:cs="黑体"/>
          <w:spacing w:val="19"/>
          <w:sz w:val="31"/>
          <w:szCs w:val="31"/>
          <w:highlight w:val="none"/>
        </w:rPr>
        <w:t xml:space="preserve"> 鹿邑县创业就业服务中心概况</w:t>
      </w:r>
    </w:p>
    <w:p w14:paraId="0DF24D0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一、主要职责</w:t>
      </w:r>
    </w:p>
    <w:p w14:paraId="39F725D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left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(一)机构设置情况</w:t>
      </w:r>
    </w:p>
    <w:p w14:paraId="45A39B1D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left"/>
        <w:textAlignment w:val="auto"/>
        <w:rPr>
          <w:rFonts w:hint="default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鹿邑县创业就业服务中心下设办公室一个科室。</w:t>
      </w:r>
    </w:p>
    <w:p w14:paraId="39E5338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left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单位职责</w:t>
      </w:r>
    </w:p>
    <w:p w14:paraId="7655AB7E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2" w:lineRule="exact"/>
        <w:ind w:firstLine="641"/>
        <w:jc w:val="left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(1)统筹做好城乡劳动就业，制定就业再就业计划，落实就业再就业目标任务；宣传国家、省、市劳动就业方针政策，提供政策咨询服务，促进城乡统筹就业；负责就业困难人员认定；负责就业资金预算，确定就业资金的使用方向；负责指导全县人力资源管理服务信息系统及乡镇、街道、社区劳动保障服务信息系统网络服务；负责指导乡镇、街道、社区劳动保障机构就业服务工作；负责组织指导就业再就业培训；负责指导组织就业岗位调查及公益性岗位开发服务；负责开展就业援助工作；负责城镇新增就业工作；负责制定就业工作方案，同时做好就业各类统计报表上报工作；负责就失业登记；就业扶持与援助；劳务派遣行政许可；负责高校毕业生就业工作；负责高校毕业生就业见习工作；负责青年就业创业服务；负责充分就业社区创建；政府购岗计划；就业指导创业服务；创业开业补贴；社会保险补贴；岗位补贴；就业见习补贴；求职创业补贴；就业创业服务补助；贫困家庭劳动力就业工作；贫困家庭劳动力就业创业扶贫补贴；孵化成果补贴；大众创业扶持项目补助；一次性吸纳就业补贴；负责举办各类招聘活动；负责零工市场建设和服务；负责开展劳务协作。</w:t>
      </w:r>
    </w:p>
    <w:p w14:paraId="32DD38B6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2" w:lineRule="exact"/>
        <w:ind w:firstLine="641"/>
        <w:jc w:val="left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(2)加强就业再就业培训的目标，落实目标责任制工作。进一步完善目标考核体系，完成下岗失业人员再就业培训、创业培训的目标任务工作；采取措施推动再就业培训健康协调开展；建立下岗失业人员再就业台账、对每个参加培训的人员实行立档归案；加强培训后的创业服务工作，为创业者提供开业指导，创业咨询，跟踪服务，达到与政策扶持相结合的整体效应，建立培训服务体系。</w:t>
      </w:r>
    </w:p>
    <w:p w14:paraId="6510251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2" w:lineRule="exact"/>
        <w:ind w:firstLine="641"/>
        <w:jc w:val="left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(3)协同财政、银行为全县在法定劳动年龄内，具有完全民事行为能力的“城镇登记失业人员、就业困难人员、残疾人、复员转业退役军人、高校毕业生(含大学生村官和留学回国学生)化解过剩产能企业职工和失业人员、返乡创业农民工、网络商户、建档立卡贫困户、农村自主创业农民”等人员有创业贷款需求并符合创业贷款扶持条件的，协调银行发放贷款，创业贷款担保中心提供担保，扶持创业就业工作。</w:t>
      </w:r>
    </w:p>
    <w:p w14:paraId="101FF4F9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2" w:lineRule="exact"/>
        <w:ind w:firstLine="641"/>
        <w:jc w:val="left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(4)做好为求职者和用人单位进行求职用工登记工作；为求职者和用人单位提供求职咨询和介绍工作；为用工单位提供劳动力资源信息，介绍求职者；做好为求职者和用人单位免费提供跟踪服务工作。</w:t>
      </w:r>
    </w:p>
    <w:p w14:paraId="18CC506C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2" w:lineRule="exact"/>
        <w:ind w:firstLine="641"/>
        <w:jc w:val="left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(5)负责人力资源和社会保障局交办的其他工作。</w:t>
      </w:r>
    </w:p>
    <w:p w14:paraId="6D3CECA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二、鹿邑县创业就业服务中心预算单位构成</w:t>
      </w:r>
    </w:p>
    <w:p w14:paraId="14F92B2B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left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本预算构成为鹿邑县创业就业服务中心本级预算。</w:t>
      </w:r>
    </w:p>
    <w:p w14:paraId="454954CB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jc w:val="left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</w:p>
    <w:p w14:paraId="11326DB2">
      <w:pPr>
        <w:keepNext w:val="0"/>
        <w:keepLines w:val="0"/>
        <w:pageBreakBefore w:val="0"/>
        <w:wordWrap w:val="0"/>
        <w:overflowPunct/>
        <w:topLinePunct w:val="0"/>
        <w:bidi w:val="0"/>
        <w:rPr>
          <w:rFonts w:hint="eastAsia" w:ascii="仿宋_GB2312" w:hAnsi="Calibri" w:eastAsia="仿宋_GB2312" w:cs="Times New Roman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br w:type="page"/>
      </w:r>
    </w:p>
    <w:p w14:paraId="37D54EC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578" w:lineRule="atLeast"/>
        <w:ind w:left="0"/>
        <w:jc w:val="center"/>
        <w:textAlignment w:val="baseline"/>
        <w:rPr>
          <w:rFonts w:hint="eastAsia" w:ascii="黑体" w:hAnsi="黑体" w:eastAsia="黑体" w:cs="黑体"/>
          <w:spacing w:val="19"/>
          <w:sz w:val="31"/>
          <w:szCs w:val="31"/>
          <w:highlight w:val="none"/>
          <w:lang w:eastAsia="zh-CN"/>
        </w:rPr>
      </w:pPr>
      <w:r>
        <w:rPr>
          <w:rFonts w:hint="eastAsia" w:ascii="黑体" w:hAnsi="黑体" w:eastAsia="黑体" w:cs="黑体"/>
          <w:spacing w:val="19"/>
          <w:sz w:val="31"/>
          <w:szCs w:val="31"/>
          <w:highlight w:val="none"/>
        </w:rPr>
        <w:t>第二部分</w:t>
      </w:r>
    </w:p>
    <w:p w14:paraId="5DD746A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578" w:lineRule="atLeast"/>
        <w:ind w:left="0"/>
        <w:jc w:val="center"/>
        <w:textAlignment w:val="baseline"/>
        <w:rPr>
          <w:rFonts w:ascii="黑体" w:hAnsi="黑体" w:eastAsia="黑体" w:cs="黑体"/>
          <w:spacing w:val="19"/>
          <w:sz w:val="31"/>
          <w:szCs w:val="31"/>
          <w:highlight w:val="none"/>
        </w:rPr>
      </w:pPr>
      <w:r>
        <w:rPr>
          <w:rFonts w:hint="eastAsia" w:ascii="黑体" w:hAnsi="黑体" w:eastAsia="黑体" w:cs="黑体"/>
          <w:spacing w:val="19"/>
          <w:sz w:val="31"/>
          <w:szCs w:val="31"/>
          <w:highlight w:val="none"/>
        </w:rPr>
        <w:t xml:space="preserve"> 鹿邑县创业就业服务中心2024年单位预算情况说明</w:t>
      </w:r>
    </w:p>
    <w:p w14:paraId="39A28F3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一、收入支出预算总体情况说明</w:t>
      </w:r>
    </w:p>
    <w:p w14:paraId="3CF635AD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鹿邑县创业就业服务中心单位2024年收入总计5095.46万元，支出总计5095.46万元，与2023年预算相比，收、支总计减少1829.64万元，下降26.42%，主要原因是：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。</w:t>
      </w:r>
    </w:p>
    <w:p w14:paraId="434A7EA6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jc w:val="center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drawing>
          <wp:inline distT="0" distB="0" distL="114300" distR="114300">
            <wp:extent cx="4734560" cy="2971800"/>
            <wp:effectExtent l="4445" t="4445" r="15875" b="10795"/>
            <wp:docPr id="6" name="图表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4782C58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二、收入预算总体情况说明</w:t>
      </w:r>
    </w:p>
    <w:p w14:paraId="4A8B92D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鹿邑县创业就业服务中心单位2024年收入合计5095.46万元，其中：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一般公共预算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4384.40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万元;政府性基金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0.00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万元;国有资本经营预算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0.00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万元;财政专户管理资金收入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0.00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万元;事业收入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0.00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万元;事业单位经营收入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0.00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万元;上级补助收入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0.00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万元;附属单位上缴收入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0.00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万元;其他收入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0.00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万元;上年结转结余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711.06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万元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。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ab/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ab/>
      </w:r>
    </w:p>
    <w:p w14:paraId="582C3F09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jc w:val="center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drawing>
          <wp:inline distT="0" distB="0" distL="114300" distR="114300">
            <wp:extent cx="4734560" cy="3260090"/>
            <wp:effectExtent l="4445" t="4445" r="15875" b="12065"/>
            <wp:docPr id="9" name="图表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551C9DC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三、支出预算总体情况说明</w:t>
      </w:r>
    </w:p>
    <w:p w14:paraId="1E23D28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鹿邑县创业就业服务中心单位2024年支出合计5095.46万元，其中：项目支出5095.46万元，占100.00%。</w:t>
      </w:r>
    </w:p>
    <w:p w14:paraId="04DC2ADF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jc w:val="center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drawing>
          <wp:inline distT="0" distB="0" distL="114300" distR="114300">
            <wp:extent cx="4734560" cy="3506470"/>
            <wp:effectExtent l="5080" t="4445" r="15240" b="9525"/>
            <wp:docPr id="10" name="图表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2017A57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四、财政拨款收入支出预算总体情况说明</w:t>
      </w:r>
    </w:p>
    <w:p w14:paraId="56407DAB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鹿邑县创业就业服务中心单位2024年一般公共预算收支预算5095.46万元，政府性基金收支预算0.00万元，国有资本经营预算0.00万元。与2023年相比，一般公共预算收支预算减少1829.64万元，下降26.42%，主要原因是：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；政府性基金收支预算持平，主要原因是：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；国有资本经营预算持平，主要原因是：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。</w:t>
      </w:r>
    </w:p>
    <w:p w14:paraId="1A3EC9A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jc w:val="center"/>
        <w:textAlignment w:val="auto"/>
      </w:pPr>
      <w:r>
        <w:drawing>
          <wp:inline distT="0" distB="0" distL="114300" distR="114300">
            <wp:extent cx="4734560" cy="2976880"/>
            <wp:effectExtent l="4445" t="4445" r="15875" b="5715"/>
            <wp:docPr id="11" name="图表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65C8F086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jc w:val="center"/>
        <w:textAlignment w:val="auto"/>
        <w:rPr>
          <w:rFonts w:hint="eastAsia"/>
          <w:lang w:val="en-US" w:eastAsia="zh-CN"/>
        </w:rPr>
      </w:pPr>
      <w:r>
        <w:drawing>
          <wp:inline distT="0" distB="0" distL="114300" distR="114300">
            <wp:extent cx="4734560" cy="2895600"/>
            <wp:effectExtent l="4445" t="4445" r="15875" b="10795"/>
            <wp:docPr id="12" name="图表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3C20506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五、一般公共预算支出预算情况说明</w:t>
      </w:r>
    </w:p>
    <w:p w14:paraId="739DE8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鹿邑县创业就业服务中心单位2024年一般公共预算支出年初预算为4384.40万元。其中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项目支出4384.40万元，占100.00%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。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主要用于以下方面：</w:t>
      </w:r>
    </w:p>
    <w:p w14:paraId="7B5591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1、社会保障和就业支出3885.40万元，占88.62%。其中：人力资源和社会保障管理事务（款）行政运行（项）193.40万元；就业补助（款）其他就业补助支出（项）3692.00万元；</w:t>
      </w:r>
    </w:p>
    <w:p w14:paraId="02A5F9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2、农林水支出499.00万元，占11.38%。其中：普惠金融发展支出（款）创业担保贷款贴息及奖补（项）100.00万元；普惠金融发展支出（款）补充创业担保贷款基金（项）399.00万元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。</w:t>
      </w:r>
    </w:p>
    <w:p w14:paraId="2B3C76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jc w:val="center"/>
        <w:textAlignment w:val="auto"/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drawing>
          <wp:inline distT="0" distB="0" distL="114300" distR="114300">
            <wp:extent cx="4876800" cy="3475990"/>
            <wp:effectExtent l="4445" t="4445" r="10795" b="9525"/>
            <wp:docPr id="13" name="图表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3334AB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六、一般公共预算基本支出预算情况说明</w:t>
      </w:r>
    </w:p>
    <w:p w14:paraId="1C5DAD5A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鹿邑县创业就业服务中心单位2024年未安排一般公共预算基本支出。</w:t>
      </w:r>
    </w:p>
    <w:p w14:paraId="11E6262A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</w:p>
    <w:p w14:paraId="0A45BF5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七、一般公共预算基本支出明细说明</w:t>
      </w:r>
    </w:p>
    <w:p w14:paraId="730FB32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鹿邑县创业就业服务中心单位2024年未安排一般公共预算基本支出。</w:t>
      </w:r>
    </w:p>
    <w:p w14:paraId="0B7BFF1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八、行政（事业）单位机构运转经费情况说明</w:t>
      </w:r>
    </w:p>
    <w:p w14:paraId="36FF8E9D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highlight w:val="none"/>
          <w:lang w:val="en-US" w:eastAsia="zh-CN"/>
        </w:rPr>
        <w:t>鹿邑县创业就业服务中心2024年单位机构运行经费支出预算0.00万元，主要保障机关机构正常运转及正常履职需要的办公费、水电费、物业费、维修费、差旅费等支出，与2023年相比持平，主要原因：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highlight w:val="yellow"/>
          <w:lang w:val="en-US" w:eastAsia="zh-CN"/>
        </w:rPr>
        <w:t>******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highlight w:val="none"/>
          <w:lang w:val="en-US" w:eastAsia="zh-CN"/>
        </w:rPr>
        <w:t>。</w:t>
      </w:r>
    </w:p>
    <w:p w14:paraId="6764190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仿宋_GB2312" w:hAnsi="Times New Roman" w:eastAsia="仿宋_GB2312" w:cs="仿宋_GB2312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九、支出预算经济分类情况说明</w:t>
      </w:r>
    </w:p>
    <w:p w14:paraId="6A9F57F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highlight w:val="none"/>
          <w:lang w:val="en-US" w:eastAsia="zh-CN"/>
        </w:rPr>
        <w:t>鹿邑县创业就业服务中心2024年单位预算支出5095.46万元，其中：302商品和服务支出399.00万元，主要包括：其他商品服务支出399.00万元；303对个人和家庭的补助支出4596.46万元，主要包括：其他对个人和家庭的补助4596.46万元;312其他对企业补助支出100.00万元，主要包括：其他对企业补助100.00万元。</w:t>
      </w:r>
    </w:p>
    <w:p w14:paraId="7E3F3BE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十、“三公”经费支出预算情况说明</w:t>
      </w:r>
    </w:p>
    <w:p w14:paraId="22C42C3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鹿邑县创业就业服务中心单位2024年“三公”经费预算为0.00万元。2024年“三公”经费支出预算数较2023年持平，主要原因是：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。</w:t>
      </w:r>
    </w:p>
    <w:p w14:paraId="0E99789C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具体支出情况如下：</w:t>
      </w:r>
    </w:p>
    <w:p w14:paraId="58403D0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(一)因公出国(境)费0.00万元，主要用于单位工作人员公务出国(境)的住宿费、差旅费、伙食补助费、杂费、培训费等支出。预算数较2023年持平，主要原因是：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******。</w:t>
      </w:r>
    </w:p>
    <w:p w14:paraId="2AF7D959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(二)公务用车购置及运行费0.00万元，其中，公务用车购置费0.00万元，主要用于单位公务用车购置支出（含车辆购置税、牌照费），较2023年持平，主要原因是：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；公务用车运行维护费0.00万元，主要用于开展工作所需公务用车的燃料费、维修费、过路过桥费、保险费、安全奖励费用等支出，较2023年持平，主要原因是：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。</w:t>
      </w:r>
    </w:p>
    <w:p w14:paraId="06D1172E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(三)公务接待费0.00万元，主要用于按规定开支的各类公务接待(含外宾接待)支出。预算数较2023持平，主要原因是：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。</w:t>
      </w:r>
    </w:p>
    <w:p w14:paraId="04D2503E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jc w:val="center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drawing>
          <wp:inline distT="0" distB="0" distL="114300" distR="114300">
            <wp:extent cx="4745990" cy="2895600"/>
            <wp:effectExtent l="4445" t="4445" r="19685" b="10795"/>
            <wp:docPr id="18" name="图表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427ECE2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十一、政府性基金预算支出预算情况说明</w:t>
      </w:r>
    </w:p>
    <w:p w14:paraId="22BB1D9F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鹿邑县创业就业服务中心2024年无政府性基金预算拨款安排的支出。</w:t>
      </w:r>
    </w:p>
    <w:p w14:paraId="1831E2F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</w:pPr>
    </w:p>
    <w:p w14:paraId="62F446D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十二、国有资本经营预算支出情况说明</w:t>
      </w:r>
    </w:p>
    <w:p w14:paraId="22A8164A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鹿邑县创业就业服务中心2024年无国有资本经营预算拨款安排的支出。</w:t>
      </w:r>
    </w:p>
    <w:p w14:paraId="1ECA49F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十三、政府采购支出情况</w:t>
      </w:r>
    </w:p>
    <w:p w14:paraId="5D59D00B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2024年政府采购预算安排0.00万元，其中：政府采购货物预算0.00万元、政府采购工程预算0.00万元、政府采购服务预算0.00万元。</w:t>
      </w:r>
    </w:p>
    <w:p w14:paraId="77D051A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十四、项目绩效目标设置情况说明</w:t>
      </w:r>
    </w:p>
    <w:p w14:paraId="06F169EA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2024年我单位纳入预算绩效管理的支出总额为5095.46万元，其中：人员经费支出0.00万元，公用经费支出0.00万元，项目支出总额5095.46万元。支出项目共12个，其中：预算支出100万元及100万元以上的重点项目8个，支出总额5044.41万元。均按要求编制了绩效目标，从项目产出、项目效益、满意度等方面设置了绩效指标，综合反映项目预期完成的数量、实效、质量，预期达到的社会经济效益、可持续影响以及服务对象满意度等情况。</w:t>
      </w:r>
    </w:p>
    <w:p w14:paraId="14E31FF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十五、其他重要事项情况说明</w:t>
      </w:r>
    </w:p>
    <w:p w14:paraId="100B2E7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楷体" w:hAnsi="楷体" w:eastAsia="楷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" w:hAnsi="楷体" w:eastAsia="楷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(一)国有资产占用情况</w:t>
      </w:r>
    </w:p>
    <w:p w14:paraId="3C8497E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2023年期末，我单位固定资产总额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万元，其中，房屋建筑物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万元，车辆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万元，办公设备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万元，专用设备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万元。共有车辆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辆，其中：一般公务用车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辆、一般执法执勤用车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辆、特种专业技术用车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辆；其他用车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辆，其他用车主要是：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；单价50万元以上通用设备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套，单位价值100万元以上专用设备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套。</w:t>
      </w:r>
    </w:p>
    <w:p w14:paraId="57CAEF3E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楷体" w:hAnsi="楷体" w:eastAsia="楷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" w:hAnsi="楷体" w:eastAsia="楷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(二)专项转移支付项目情况</w:t>
      </w:r>
    </w:p>
    <w:p w14:paraId="4D32DB9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创业就业服务中心单位负责管理的专项转移支付项目共有0项，我单位无负责管理的专项转移支付项目资金。我单位将按照《预算法》等有关规定,积极做好项目分配前期准备工作，在规定的时间内向财政部门提出资金分配意见，根据有关要求做好项目申报公开等相关工作。</w:t>
      </w:r>
    </w:p>
    <w:p w14:paraId="797496D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1" w:firstLineChars="0"/>
        <w:jc w:val="both"/>
        <w:textAlignment w:val="auto"/>
        <w:rPr>
          <w:rFonts w:hint="eastAsia" w:ascii="楷体" w:hAnsi="楷体" w:eastAsia="楷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" w:hAnsi="楷体" w:eastAsia="楷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债务收支项目情况</w:t>
      </w:r>
    </w:p>
    <w:p w14:paraId="43206E9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left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鹿邑县创业就业服务中心2024年没有债务收入支出项目安排。</w:t>
      </w:r>
    </w:p>
    <w:p w14:paraId="595996A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1" w:firstLineChars="0"/>
        <w:jc w:val="both"/>
        <w:textAlignment w:val="auto"/>
        <w:rPr>
          <w:rFonts w:hint="eastAsia" w:ascii="仿宋_GB2312" w:hAnsi="Calibri" w:eastAsia="仿宋_GB2312" w:cs="Times New Roman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br w:type="page"/>
      </w:r>
    </w:p>
    <w:p w14:paraId="5EFA919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578" w:lineRule="atLeast"/>
        <w:ind w:left="0"/>
        <w:jc w:val="center"/>
        <w:textAlignment w:val="baseline"/>
        <w:rPr>
          <w:rFonts w:hint="eastAsia" w:ascii="黑体" w:hAnsi="黑体" w:eastAsia="黑体" w:cs="黑体"/>
          <w:spacing w:val="19"/>
          <w:sz w:val="31"/>
          <w:szCs w:val="31"/>
          <w:highlight w:val="none"/>
          <w:lang w:eastAsia="zh-CN"/>
        </w:rPr>
      </w:pPr>
      <w:r>
        <w:rPr>
          <w:rFonts w:hint="eastAsia" w:ascii="黑体" w:hAnsi="黑体" w:eastAsia="黑体" w:cs="黑体"/>
          <w:spacing w:val="19"/>
          <w:sz w:val="31"/>
          <w:szCs w:val="31"/>
          <w:highlight w:val="none"/>
        </w:rPr>
        <w:t>第三部分</w:t>
      </w:r>
    </w:p>
    <w:p w14:paraId="5704371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578" w:lineRule="atLeast"/>
        <w:ind w:left="0"/>
        <w:jc w:val="center"/>
        <w:textAlignment w:val="baseline"/>
        <w:rPr>
          <w:rFonts w:ascii="黑体" w:hAnsi="黑体" w:eastAsia="黑体" w:cs="黑体"/>
          <w:spacing w:val="19"/>
          <w:sz w:val="31"/>
          <w:szCs w:val="31"/>
          <w:highlight w:val="none"/>
        </w:rPr>
      </w:pPr>
      <w:r>
        <w:rPr>
          <w:rFonts w:hint="eastAsia" w:ascii="黑体" w:hAnsi="黑体" w:eastAsia="黑体" w:cs="黑体"/>
          <w:spacing w:val="19"/>
          <w:sz w:val="31"/>
          <w:szCs w:val="31"/>
          <w:highlight w:val="none"/>
        </w:rPr>
        <w:t>名词解释</w:t>
      </w:r>
    </w:p>
    <w:p w14:paraId="04E0C9DE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一、财政拨款收入：是指县级财政当年拨付的资金。包括一般公共预算拨款、政府性基金预算拨款、国有资本经营预算拨款。</w:t>
      </w:r>
    </w:p>
    <w:p w14:paraId="2195E6AE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二、事业收入：是指事业单位开展专业活动及辅助活动所取得的收入。</w:t>
      </w:r>
    </w:p>
    <w:p w14:paraId="3693899B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三、其他收入：是指单位取得的除“财政拨款”、“事业收入”、“事业单位经营收入”等以外的收入。</w:t>
      </w:r>
    </w:p>
    <w:p w14:paraId="70EFF0E8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四、基本支出：是指为保障机构正常运转、完成日常工作任务所必需的开支，其内容包括人员经费和日常公用经费两部分。</w:t>
      </w:r>
    </w:p>
    <w:p w14:paraId="2F619959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五、项目支出：是指在基本支出之外，为完成特定的行政工作任务或事业发展目标所发生的支出。</w:t>
      </w:r>
    </w:p>
    <w:p w14:paraId="0221E81C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六、“三公”经费：是指纳入省级财政预算管理，单位使用财政拨款安排的因公出国（境）费、公务用车购置及运行费和公务接待费。其中，因公出国（境）费反映单位公务出国（境）的住宿费、旅费、伙食补助费、杂费、培训费等支出;公务用车购置及运行费反映单位公务用车购置费及租用费、燃料费、维修费、过路过桥费、保险费、安全奖励费用等支出;公务接待费反映单位按规定开支的各类公务接待（含外宾接待）支出。</w:t>
      </w:r>
    </w:p>
    <w:p w14:paraId="5012A861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七、行政（事业）单位机构运转经费情况：是指为保障单位（包括行政单位和事业单位）运行用于购买货物和服务的各项资金，包括办公及印刷费、邮电费、差旅费、会议费、福利费、日常维修费及一般设备购置费、办公用房水电费、办公用房取暖费、办公用房物业管理费、公务用车运行维护费以及其他费用。</w:t>
      </w:r>
    </w:p>
    <w:p w14:paraId="362EB3B4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八、工资福利支出：单位支付给在职职工和编制外长期聘用人员的各类劳动报酬，以及为上述人员缴纳的各项社会保险费等。</w:t>
      </w:r>
      <w:bookmarkStart w:id="0" w:name="_GoBack"/>
      <w:bookmarkEnd w:id="0"/>
    </w:p>
    <w:p w14:paraId="749DCD1F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九、商品和服务支出：单位购买商品和服务的支出。</w:t>
      </w:r>
    </w:p>
    <w:p w14:paraId="4E458F0D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十、对个人和家庭的补助支出：单位用于对个人和家庭的补助支出。</w:t>
      </w:r>
    </w:p>
    <w:p w14:paraId="3363A594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十一、年末结转：本年度或以前年度预算安排，已执行但尚未完成或因客观条件发生变化无法按原计划实施，需延迟到以后年度按有关规定继续使用的资金。</w:t>
      </w:r>
    </w:p>
    <w:p w14:paraId="25A75F3E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十二、年末结余：本年度或以前年度预算安排，已执行完毕或因客观条件发生变化无法按原预算安排实施，不需要再使用或无法按原预算安排继续使用的资金。</w:t>
      </w:r>
    </w:p>
    <w:p w14:paraId="160640FE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附件：鹿邑县创业就业服务中心2024年度单位预算表</w:t>
      </w:r>
    </w:p>
    <w:p w14:paraId="4E215364">
      <w:pPr>
        <w:jc w:val="left"/>
        <w:rPr>
          <w:rFonts w:hint="eastAsia" w:ascii="仿宋" w:hAnsi="仿宋" w:eastAsia="仿宋" w:cs="仿宋"/>
          <w:color w:val="000000"/>
          <w:kern w:val="0"/>
          <w:sz w:val="21"/>
          <w:szCs w:val="21"/>
          <w:highlight w:val="none"/>
          <w:lang w:val="en-US" w:eastAsia="zh-CN"/>
        </w:rPr>
      </w:pPr>
    </w:p>
    <w:sectPr>
      <w:footerReference r:id="rId5" w:type="default"/>
      <w:pgSz w:w="11905" w:h="16837"/>
      <w:pgMar w:top="1440" w:right="1800" w:bottom="1440" w:left="1800" w:header="0" w:footer="1417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517BC4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0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rgbClr val="FFFFFF"/>
                      </a:lnRef>
                      <a:fillRef idx="0">
                        <a:srgbClr val="FFFFFF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4A2E12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rtlCol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Ll1uVLQAAAABQEAAA8AAAAAAAAAAQAgAAAAIgAAAGRycy9kb3ducmV2Lnht&#10;bFBLAQIUABQAAAAIAIdO4kApvdYVAQIAAAoEAAAOAAAAAAAAAAEAIAAAAB8BAABkcnMvZTJvRG9j&#10;LnhtbFBLBQYAAAAABgAGAFkBAACS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E4A2E12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ADCABA"/>
    <w:multiLevelType w:val="singleLevel"/>
    <w:tmpl w:val="59ADCABA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displayBackgroundShape w:val="1"/>
  <w:bordersDoNotSurroundHeader w:val="1"/>
  <w:bordersDoNotSurroundFooter w:val="1"/>
  <w:doNotTrackMoves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zcwODc2ZDNlZmMwMTMwODUwODU2Njk5NzJmYmYxMjYifQ=="/>
  </w:docVars>
  <w:rsids>
    <w:rsidRoot w:val="00000000"/>
    <w:rsid w:val="2C68150D"/>
  </w:rsids>
  <m:mathPr>
    <m:brkBin m:val="before"/>
    <m:brkBinSub m:val="--"/>
    <m:smallFrac m:val="0"/>
    <m:dispDef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99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7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6"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Comment Text"/>
    <w:basedOn w:val="1"/>
    <w:autoRedefine/>
    <w:qFormat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hart" Target="charts/chart3.xml"/><Relationship Id="rId8" Type="http://schemas.openxmlformats.org/officeDocument/2006/relationships/chart" Target="charts/chart2.xml"/><Relationship Id="rId7" Type="http://schemas.openxmlformats.org/officeDocument/2006/relationships/chart" Target="charts/chart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4.xml"/><Relationship Id="rId17" Type="http://schemas.openxmlformats.org/officeDocument/2006/relationships/customXml" Target="../customXml/item3.xml"/><Relationship Id="rId16" Type="http://schemas.openxmlformats.org/officeDocument/2006/relationships/customXml" Target="../customXml/item2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chart" Target="charts/chart7.xml"/><Relationship Id="rId12" Type="http://schemas.openxmlformats.org/officeDocument/2006/relationships/chart" Target="charts/chart6.xml"/><Relationship Id="rId11" Type="http://schemas.openxmlformats.org/officeDocument/2006/relationships/chart" Target="charts/chart5.xml"/><Relationship Id="rId10" Type="http://schemas.openxmlformats.org/officeDocument/2006/relationships/chart" Target="charts/chart4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2.xml"/><Relationship Id="rId2" Type="http://schemas.microsoft.com/office/2011/relationships/chartStyle" Target="style2.xml"/><Relationship Id="rId1" Type="http://schemas.openxmlformats.org/officeDocument/2006/relationships/oleObject" Target="file:///C:\Users\84220\Desktop\&#39044;&#31639;&#20844;&#24320;2024&#40575;&#37009;\&#40575;&#37009;&#39044;&#31639;&#20844;&#24320;&#22270;&#34920;&#27169;&#26495;.xlsx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microsoft.com/office/2011/relationships/chartColorStyle" Target="colors5.xml"/><Relationship Id="rId2" Type="http://schemas.microsoft.com/office/2011/relationships/chartStyle" Target="style5.xml"/><Relationship Id="rId1" Type="http://schemas.openxmlformats.org/officeDocument/2006/relationships/oleObject" Target="file:///C:\Users\84220\Desktop\&#39044;&#31639;&#20844;&#24320;2024&#40575;&#37009;\&#40575;&#37009;&#39044;&#31639;&#20844;&#24320;&#22270;&#34920;&#27169;&#26495;.xlsx" TargetMode="External"/></Relationships>
</file>

<file path=word/charts/_rels/chart3.xml.rels><?xml version="1.0" encoding="UTF-8" standalone="yes"?>
<Relationships xmlns="http://schemas.openxmlformats.org/package/2006/relationships"><Relationship Id="rId3" Type="http://schemas.microsoft.com/office/2011/relationships/chartColorStyle" Target="colors4.xml"/><Relationship Id="rId2" Type="http://schemas.microsoft.com/office/2011/relationships/chartStyle" Target="style4.xml"/><Relationship Id="rId1" Type="http://schemas.openxmlformats.org/officeDocument/2006/relationships/oleObject" Target="file:///C:\Users\84220\Desktop\&#39044;&#31639;&#20844;&#24320;2024&#40575;&#37009;\&#40575;&#37009;&#39044;&#31639;&#20844;&#24320;&#22270;&#34920;&#27169;&#26495;.xlsx" TargetMode="External"/></Relationships>
</file>

<file path=word/charts/_rels/chart4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oleObject" Target="file:///C:\Users\84220\Desktop\&#39044;&#31639;&#20844;&#24320;2024&#40575;&#37009;\&#40575;&#37009;&#39044;&#31639;&#20844;&#24320;&#22270;&#34920;&#27169;&#26495;.xlsx" TargetMode="External"/></Relationships>
</file>

<file path=word/charts/_rels/chart5.xml.rels><?xml version="1.0" encoding="UTF-8" standalone="yes"?>
<Relationships xmlns="http://schemas.openxmlformats.org/package/2006/relationships"><Relationship Id="rId3" Type="http://schemas.microsoft.com/office/2011/relationships/chartColorStyle" Target="colors3.xml"/><Relationship Id="rId2" Type="http://schemas.microsoft.com/office/2011/relationships/chartStyle" Target="style3.xml"/><Relationship Id="rId1" Type="http://schemas.openxmlformats.org/officeDocument/2006/relationships/oleObject" Target="file:///C:\Users\84220\Desktop\&#39044;&#31639;&#20844;&#24320;2024&#40575;&#37009;\&#40575;&#37009;&#39044;&#31639;&#20844;&#24320;&#22270;&#34920;&#27169;&#26495;.xlsx" TargetMode="External"/></Relationships>
</file>

<file path=word/charts/_rels/chart6.xml.rels><?xml version="1.0" encoding="UTF-8" standalone="yes"?>
<Relationships xmlns="http://schemas.openxmlformats.org/package/2006/relationships"><Relationship Id="rId3" Type="http://schemas.microsoft.com/office/2011/relationships/chartColorStyle" Target="colors7.xml"/><Relationship Id="rId2" Type="http://schemas.microsoft.com/office/2011/relationships/chartStyle" Target="style7.xml"/><Relationship Id="rId1" Type="http://schemas.openxmlformats.org/officeDocument/2006/relationships/oleObject" Target="file:///C:\Users\84220\Desktop\&#39044;&#31639;&#20844;&#24320;2024&#40575;&#37009;\&#40575;&#37009;&#39044;&#31639;&#20844;&#24320;&#22270;&#34920;&#27169;&#26495;.xlsx" TargetMode="External"/></Relationships>
</file>

<file path=word/charts/_rels/chart7.xml.rels><?xml version="1.0" encoding="UTF-8" standalone="yes"?>
<Relationships xmlns="http://schemas.openxmlformats.org/package/2006/relationships"><Relationship Id="rId3" Type="http://schemas.microsoft.com/office/2011/relationships/chartColorStyle" Target="colors6.xml"/><Relationship Id="rId2" Type="http://schemas.microsoft.com/office/2011/relationships/chartStyle" Target="style6.xml"/><Relationship Id="rId1" Type="http://schemas.openxmlformats.org/officeDocument/2006/relationships/oleObject" Target="file:///C:\Users\84220\Desktop\&#39044;&#31639;&#20844;&#24320;2024&#40575;&#37009;\&#40575;&#37009;&#39044;&#31639;&#20844;&#24320;&#22270;&#34920;&#27169;&#26495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1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收入支出预算总体变动情况表图</a:t>
            </a:r>
          </a:p>
        </c:rich>
      </c:tx>
      <c:layout>
        <c:manualLayout>
          <c:xMode val="edge"/>
          <c:yMode val="edge"/>
          <c:x val="0.234210526315789"/>
          <c:y val="0.0277777777777778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layout/>
              <c:numFmt formatCode="#.00&quot;万&quot;&quot;元&quot;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/>
              <c:numFmt formatCode="#.00&quot;万&quot;&quot;元&quot;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#.00&quot;万&quot;&quot;元&quot;" sourceLinked="0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>
                <a:noAutofit/>
              </a:bodyPr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[鹿邑预算公开图表模板.xlsx]Sheet1!$D$7:$E$7</c:f>
              <c:strCache>
                <c:ptCount val="2"/>
                <c:pt idx="0">
                  <c:v>2024年</c:v>
                </c:pt>
                <c:pt idx="1">
                  <c:v>2023年</c:v>
                </c:pt>
              </c:strCache>
            </c:strRef>
          </c:cat>
          <c:val>
            <c:numRef>
              <c:f>[鹿邑预算公开图表模板.xlsx]Sheet1!$D$8:$E$8</c:f>
              <c:numCache>
                <c:formatCode>0.00_ </c:formatCode>
                <c:ptCount val="2"/>
                <c:pt idx="0">
                  <c:v>5095.46</c:v>
                </c:pt>
                <c:pt idx="1" c:formatCode="#,##0.00">
                  <c:v>6925.1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46"/>
        <c:overlap val="-28"/>
        <c:axId val="941691965"/>
        <c:axId val="928703952"/>
      </c:barChart>
      <c:catAx>
        <c:axId val="941691965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928703952"/>
        <c:crosses val="autoZero"/>
        <c:auto val="1"/>
        <c:lblAlgn val="ctr"/>
        <c:lblOffset val="100"/>
        <c:noMultiLvlLbl val="0"/>
      </c:catAx>
      <c:valAx>
        <c:axId val="928703952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0200"/>
                </a:schemeClr>
              </a:solidFill>
              <a:round/>
            </a:ln>
            <a:effectLst/>
          </c:spPr>
        </c:majorGridlines>
        <c:numFmt formatCode="0.00_ 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941691965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1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本年收入预算结构图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spPr/>
          <c:explosion val="0"/>
          <c:dPt>
            <c:idx val="0"/>
            <c:bubble3D val="0"/>
            <c:spPr>
              <a:solidFill>
                <a:schemeClr val="accent1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solidFill>
                  <a:schemeClr val="bg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0.310061056543669"/>
                  <c:y val="0.0345372014999013"/>
                </c:manualLayout>
              </c:layout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lang="zh-CN"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80921052631579"/>
                      <c:h val="0.209445585215606"/>
                    </c:manualLayout>
                  </c15:layout>
                </c:ext>
              </c:extLst>
            </c:dLbl>
            <c:dLbl>
              <c:idx val="1"/>
              <c:layout>
                <c:manualLayout>
                  <c:x val="-0.342236596942322"/>
                  <c:y val="-0.195708552223091"/>
                </c:manualLayout>
              </c:layout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lang="zh-CN"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63021052631579"/>
                      <c:h val="0.160164271047228"/>
                    </c:manualLayout>
                  </c15:layout>
                </c:ext>
              </c:extLst>
            </c:dLbl>
            <c:dLbl>
              <c:idx val="2"/>
              <c:layout>
                <c:manualLayout>
                  <c:x val="-0.356306093325141"/>
                  <c:y val="0.02151174264851"/>
                </c:manualLayout>
              </c:layout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lang="zh-CN"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176310526315789"/>
                      <c:h val="0.256276368935525"/>
                    </c:manualLayout>
                  </c15:layout>
                </c:ext>
              </c:extLst>
            </c:dLbl>
            <c:dLbl>
              <c:idx val="3"/>
              <c:layout>
                <c:manualLayout>
                  <c:x val="0.385346554728845"/>
                  <c:y val="0.671685534747763"/>
                </c:manualLayout>
              </c:layout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lang="zh-CN"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>
                <a:noAutofit/>
              </a:bodyPr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inEnd"/>
            <c:showLegendKey val="1"/>
            <c:showVal val="1"/>
            <c:showCatName val="1"/>
            <c:showSerName val="0"/>
            <c:showPercent val="1"/>
            <c:showBubbleSize val="0"/>
            <c:separator>
</c:separator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[鹿邑预算公开图表模板.xlsx]Sheet1!$D$20:$G$20</c:f>
              <c:strCache>
                <c:ptCount val="4"/>
                <c:pt idx="0">
                  <c:v>上年结转结余收入</c:v>
                </c:pt>
                <c:pt idx="1">
                  <c:v>一般公共预算</c:v>
                </c:pt>
                <c:pt idx="2">
                  <c:v>政府性基金</c:v>
                </c:pt>
                <c:pt idx="3">
                  <c:v>国有资本经营</c:v>
                </c:pt>
              </c:strCache>
            </c:strRef>
          </c:cat>
          <c:val>
            <c:numRef>
              <c:f>[鹿邑预算公开图表模板.xlsx]Sheet1!$D$21:$G$21</c:f>
              <c:numCache>
                <c:formatCode>#0.00"万""元"</c:formatCode>
                <c:ptCount val="4"/>
                <c:pt idx="0">
                  <c:v>711.06</c:v>
                </c:pt>
                <c:pt idx="1">
                  <c:v>4384.4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1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支出预算总体结构图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spPr/>
          <c:explosion val="0"/>
          <c:dPt>
            <c:idx val="0"/>
            <c:bubble3D val="0"/>
            <c:spPr>
              <a:solidFill>
                <a:schemeClr val="accent1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solidFill>
                  <a:schemeClr val="bg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0.231626839076817"/>
                  <c:y val="0.0416897251429626"/>
                </c:manualLayout>
              </c:layout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lang="zh-CN"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37757894736842"/>
                      <c:h val="0.180555555555556"/>
                    </c:manualLayout>
                  </c15:layout>
                </c:ext>
              </c:extLst>
            </c:dLbl>
            <c:dLbl>
              <c:idx val="1"/>
              <c:layout>
                <c:manualLayout>
                  <c:x val="-0.254667504771564"/>
                  <c:y val="0.0678495665006456"/>
                </c:manualLayout>
              </c:layout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13284210526316"/>
                      <c:h val="0.180555555555556"/>
                    </c:manualLayout>
                  </c15:layout>
                </c:ext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>
                <a:noAutofit/>
              </a:bodyPr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1"/>
            <c:showVal val="1"/>
            <c:showCatName val="1"/>
            <c:showSerName val="0"/>
            <c:showPercent val="1"/>
            <c:showBubbleSize val="0"/>
            <c:separator>
</c:separator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[鹿邑预算公开图表模板.xlsx]Sheet1!$D$42:$E$42</c:f>
              <c:strCache>
                <c:ptCount val="2"/>
                <c:pt idx="0">
                  <c:v>基本支出</c:v>
                </c:pt>
                <c:pt idx="1">
                  <c:v>项目支出</c:v>
                </c:pt>
              </c:strCache>
            </c:strRef>
          </c:cat>
          <c:val>
            <c:numRef>
              <c:f>[鹿邑预算公开图表模板.xlsx]Sheet1!$D$43:$E$43</c:f>
              <c:numCache>
                <c:formatCode>#0.00"万""元"</c:formatCode>
                <c:ptCount val="2"/>
                <c:pt idx="0">
                  <c:v>0</c:v>
                </c:pt>
                <c:pt idx="1">
                  <c:v>5095.46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1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财政拨款一般公共预算变动情况图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0844420600858369"/>
          <c:y val="0.15524665958846"/>
          <c:w val="0.886051502145923"/>
          <c:h val="0.734300341296928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layout/>
              <c:numFmt formatCode="#.00&quot;万&quot;&quot;元&quot;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/>
              <c:numFmt formatCode="#.00&quot;万&quot;&quot;元&quot;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#.00&quot;万&quot;&quot;元&quot;" sourceLinked="0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>
                <a:noAutofit/>
              </a:bodyPr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[鹿邑预算公开图表模板.xlsx]Sheet1!$D$67:$E$67</c:f>
              <c:strCache>
                <c:ptCount val="2"/>
                <c:pt idx="0">
                  <c:v>2024年</c:v>
                </c:pt>
                <c:pt idx="1">
                  <c:v>2023年</c:v>
                </c:pt>
              </c:strCache>
            </c:strRef>
          </c:cat>
          <c:val>
            <c:numRef>
              <c:f>[鹿邑预算公开图表模板.xlsx]Sheet1!$D$68:$E$68</c:f>
              <c:numCache>
                <c:formatCode>General</c:formatCode>
                <c:ptCount val="2"/>
                <c:pt idx="0">
                  <c:v>5095.46</c:v>
                </c:pt>
                <c:pt idx="1" c:formatCode="#,##0.00">
                  <c:v>6925.1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46"/>
        <c:overlap val="-28"/>
        <c:axId val="939383263"/>
        <c:axId val="581372480"/>
      </c:barChart>
      <c:catAx>
        <c:axId val="939383263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581372480"/>
        <c:crosses val="autoZero"/>
        <c:auto val="1"/>
        <c:lblAlgn val="ctr"/>
        <c:lblOffset val="100"/>
        <c:noMultiLvlLbl val="0"/>
      </c:catAx>
      <c:valAx>
        <c:axId val="581372480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02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939383263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1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财政拨款政府性基金变动情况图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128141308711361"/>
          <c:y val="0.166890080428954"/>
          <c:w val="0.844292787367858"/>
          <c:h val="0.72171581769437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layout/>
              <c:numFmt formatCode="#0.00&quot;万&quot;&quot;元&quot;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/>
              <c:numFmt formatCode="#0.00&quot;万&quot;&quot;元&quot;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#0.00&quot;万&quot;&quot;元&quot;" sourceLinked="0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>
                <a:noAutofit/>
              </a:bodyPr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[鹿邑预算公开图表模板.xlsx]Sheet1!$D$89:$E$89</c:f>
              <c:strCache>
                <c:ptCount val="2"/>
                <c:pt idx="0">
                  <c:v>2024年</c:v>
                </c:pt>
                <c:pt idx="1">
                  <c:v>2023年</c:v>
                </c:pt>
              </c:strCache>
            </c:strRef>
          </c:cat>
          <c:val>
            <c:numRef>
              <c:f>[鹿邑预算公开图表模板.xlsx]Sheet1!$D$90:$E$90</c:f>
              <c:numCache>
                <c:formatCode>#0.00"万""元"</c:formatCode>
                <c:ptCount val="2"/>
                <c:pt idx="0">
                  <c:v>0</c:v>
                </c:pt>
                <c:pt idx="1" c:formatCode="0.00_ ">
                  <c:v>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46"/>
        <c:overlap val="-28"/>
        <c:axId val="160929192"/>
        <c:axId val="698271744"/>
      </c:barChart>
      <c:catAx>
        <c:axId val="160929192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698271744"/>
        <c:crosses val="autoZero"/>
        <c:auto val="1"/>
        <c:lblAlgn val="ctr"/>
        <c:lblOffset val="100"/>
        <c:noMultiLvlLbl val="0"/>
      </c:catAx>
      <c:valAx>
        <c:axId val="698271744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0200"/>
                </a:schemeClr>
              </a:solidFill>
              <a:round/>
            </a:ln>
            <a:effectLst/>
          </c:spPr>
        </c:majorGridlines>
        <c:numFmt formatCode="#0.00&quot;万&quot;&quot;元&quot;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16092919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1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一般公共预算支出结构图</a:t>
            </a:r>
          </a:p>
        </c:rich>
      </c:tx>
      <c:layout>
        <c:manualLayout>
          <c:xMode val="edge"/>
          <c:yMode val="edge"/>
          <c:x val="0.294606339468303"/>
          <c:y val="0.0216110019646365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spPr/>
          <c:explosion val="0"/>
          <c:dPt>
            <c:idx val="0"/>
            <c:bubble3D val="0"/>
            <c:spPr>
              <a:solidFill>
                <a:schemeClr val="accent1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5"/>
            <c:bubble3D val="0"/>
            <c:spPr>
              <a:solidFill>
                <a:schemeClr val="accent6"/>
              </a:solidFill>
              <a:ln>
                <a:solidFill>
                  <a:schemeClr val="bg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0.285098641251701"/>
                  <c:y val="-0.117896310926649"/>
                </c:manualLayout>
              </c:layout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lang="zh-CN"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77626315789474"/>
                      <c:h val="0.200392927308448"/>
                    </c:manualLayout>
                  </c15:layout>
                </c:ext>
              </c:extLst>
            </c:dLbl>
            <c:dLbl>
              <c:idx val="1"/>
              <c:layout>
                <c:manualLayout>
                  <c:x val="-0.331786542923434"/>
                  <c:y val="0.663862695828861"/>
                </c:manualLayout>
              </c:layout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lang="zh-CN"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73284210526316"/>
                      <c:h val="0.200392927308448"/>
                    </c:manualLayout>
                  </c15:layout>
                </c:ext>
              </c:extLst>
            </c:dLbl>
            <c:dLbl>
              <c:idx val="2"/>
              <c:layout>
                <c:manualLayout>
                  <c:x val="-0.263852499778642"/>
                  <c:y val="0.0746747858147934"/>
                </c:manualLayout>
              </c:layout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lang="zh-CN"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84863157894737"/>
                      <c:h val="0.153241650294695"/>
                    </c:manualLayout>
                  </c15:layout>
                </c:ext>
              </c:extLst>
            </c:dLbl>
            <c:dLbl>
              <c:idx val="3"/>
              <c:layout>
                <c:manualLayout>
                  <c:x val="-0.3179892354612"/>
                  <c:y val="0.0361226262945442"/>
                </c:manualLayout>
              </c:layout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lang="zh-CN"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371"/>
                      <c:h val="0.205785281932274"/>
                    </c:manualLayout>
                  </c15:layout>
                </c:ext>
              </c:extLst>
            </c:dLbl>
            <c:dLbl>
              <c:idx val="4"/>
              <c:layout>
                <c:manualLayout>
                  <c:x val="0.484073588113313"/>
                  <c:y val="0.060899442326051"/>
                </c:manualLayout>
              </c:layout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0.3375"/>
                  <c:y val="0.0241139934234563"/>
                </c:manualLayout>
              </c:layout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>
                <a:noAutofit/>
              </a:bodyPr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1"/>
            <c:showVal val="1"/>
            <c:showCatName val="1"/>
            <c:showSerName val="0"/>
            <c:showPercent val="1"/>
            <c:showBubbleSize val="0"/>
            <c:separator>
</c:separator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[鹿邑预算公开图表模板.xlsx]Sheet1!$D$119:$D$124</c:f>
              <c:strCache>
                <c:ptCount val="6"/>
                <c:pt idx="0">
                  <c:v>社会保障和就业支出</c:v>
                </c:pt>
                <c:pt idx="1">
                  <c:v>农林水支出</c:v>
                </c:pt>
              </c:strCache>
            </c:strRef>
          </c:cat>
          <c:val>
            <c:numRef>
              <c:f>[鹿邑预算公开图表模板.xlsx]Sheet1!$E$119:$E$124</c:f>
              <c:numCache>
                <c:formatCode>0.00"万""元，"</c:formatCode>
                <c:ptCount val="6"/>
                <c:pt idx="0">
                  <c:v>3885.4</c:v>
                </c:pt>
                <c:pt idx="1">
                  <c:v>499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 anchor="t" anchorCtr="0"/>
    <a:lstStyle/>
    <a:p>
      <a:pPr>
        <a:defRPr lang="zh-CN"/>
      </a:pPr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1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三公经费支出预算变动情况图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0817781337605126"/>
          <c:y val="0.169975462859692"/>
          <c:w val="0.892724602856761"/>
          <c:h val="0.722150345750613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numFmt formatCode="#0.00&quot;万&quot;&quot;元&quot;" sourceLinked="0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[鹿邑预算公开图表模板.xlsx]Sheet1!$D$190:$E$190</c:f>
              <c:strCache>
                <c:ptCount val="2"/>
                <c:pt idx="0">
                  <c:v>2024年</c:v>
                </c:pt>
                <c:pt idx="1">
                  <c:v>2023年</c:v>
                </c:pt>
              </c:strCache>
            </c:strRef>
          </c:cat>
          <c:val>
            <c:numRef>
              <c:f>[鹿邑预算公开图表模板.xlsx]Sheet1!$D$191:$E$191</c:f>
              <c:numCache>
                <c:formatCode>#,##0.00</c:formatCode>
                <c:ptCount val="2"/>
                <c:pt idx="0">
                  <c:v>0</c:v>
                </c:pt>
                <c:pt idx="1" c:formatCode="0.00_ ">
                  <c:v>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46"/>
        <c:overlap val="-28"/>
        <c:axId val="263785593"/>
        <c:axId val="438893198"/>
      </c:barChart>
      <c:catAx>
        <c:axId val="263785593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438893198"/>
        <c:crosses val="autoZero"/>
        <c:auto val="1"/>
        <c:lblAlgn val="ctr"/>
        <c:lblOffset val="100"/>
        <c:noMultiLvlLbl val="0"/>
      </c:catAx>
      <c:valAx>
        <c:axId val="438893198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0200"/>
                </a:schemeClr>
              </a:solidFill>
              <a:round/>
            </a:ln>
            <a:effectLst/>
          </c:spPr>
        </c:majorGridlines>
        <c:numFmt formatCode="#,##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263785593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100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noFill/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100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noFill/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100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noFill/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1008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solidFill>
          <a:schemeClr val="bg1"/>
        </a:solidFill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1008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solidFill>
          <a:schemeClr val="bg1"/>
        </a:solidFill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100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noFill/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1008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solidFill>
          <a:schemeClr val="bg1"/>
        </a:solidFill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2023-02-22T09:25:19Z</vt:filetime>
  </property>
  <property fmtid="{D5CDD505-2E9C-101B-9397-08002B2CF9AE}" pid="4" name="KSOProductBuildVer">
    <vt:lpwstr>2052-12.1.0.16929</vt:lpwstr>
  </property>
  <property fmtid="{D5CDD505-2E9C-101B-9397-08002B2CF9AE}" pid="5" name="ICV">
    <vt:lpwstr>BF76CD38DD77498BB7F6815533CCD939_13</vt:lpwstr>
  </property>
</Properties>
</file>

<file path=customXml/item3.xml><?xml version="1.0" encoding="utf-8"?>
<Properties xmlns="http://schemas.openxmlformats.org/officeDocument/2006/extended-properties" xmlns:vt="http://schemas.openxmlformats.org/officeDocument/2006/docPropsVTypes">
  <Pages>27</Pages>
  <Words>4610</Words>
  <Characters>12077</Characters>
  <TotalTime>34</TotalTime>
  <ScaleCrop>false</ScaleCrop>
  <LinksUpToDate>false</LinksUpToDate>
  <CharactersWithSpaces>12224</CharactersWithSpaces>
  <Application>WPS Office_12.1.0.16929_F1E327BC-269C-435d-A152-05C5408002CA</Application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2023-02-23T09:21:00Z</dcterms:created>
  <dc:creator>NTKO</dc:creator>
  <cp:lastModifiedBy>aaa</cp:lastModifiedBy>
  <cp:lastPrinted>2024-01-27T03:01:00Z</cp:lastPrinted>
  <dcterms:modified xsi:type="dcterms:W3CDTF">2024-06-20T02:19:52Z</dcterms:modified>
</cp:core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bdb9e1f-1fd3-4658-818f-63ee04c2349d}">
  <ds:schemaRefs/>
</ds:datastoreItem>
</file>

<file path=customXml/itemProps3.xml><?xml version="1.0" encoding="utf-8"?>
<ds:datastoreItem xmlns:ds="http://schemas.openxmlformats.org/officeDocument/2006/customXml" ds:itemID="{d2414d7f-dcb4-47dd-857b-b521eb6e2e49}">
  <ds:schemaRefs/>
</ds:datastoreItem>
</file>

<file path=customXml/itemProps4.xml><?xml version="1.0" encoding="utf-8"?>
<ds:datastoreItem xmlns:ds="http://schemas.openxmlformats.org/officeDocument/2006/customXml" ds:itemID="{680da40a-463c-4e6c-8387-b8d3a2f1e77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14</Pages>
  <Words>6620</Words>
  <Characters>8107</Characters>
  <TotalTime>1</TotalTime>
  <ScaleCrop>false</ScaleCrop>
  <LinksUpToDate>false</LinksUpToDate>
  <CharactersWithSpaces>8207</CharactersWithSpaces>
  <Application>WPS Office_12.1.0.17857_F1E327BC-269C-435d-A152-05C5408002CA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2023-02-23T09:21:00Z</dcterms:created>
  <dc:creator>NTKO</dc:creator>
  <cp:lastModifiedBy>桀骜</cp:lastModifiedBy>
  <cp:lastPrinted>2024-01-27T03:01:00Z</cp:lastPrinted>
  <dcterms:modified xsi:type="dcterms:W3CDTF">2024-08-26T03:29:08Z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2023-02-21T16:00:00Z</vt:filetime>
  </property>
  <property fmtid="{D5CDD505-2E9C-101B-9397-08002B2CF9AE}" pid="4" name="KSOProductBuildVer">
    <vt:lpwstr>2052-12.1.0.17857</vt:lpwstr>
  </property>
  <property fmtid="{D5CDD505-2E9C-101B-9397-08002B2CF9AE}" pid="5" name="ICV">
    <vt:lpwstr>BCB2E4CDA6944CEB81DD5DC42B51F087_13</vt:lpwstr>
  </property>
</Properties>
</file>