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F1FC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101E4A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2B7F47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DA22B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9CE059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A84E85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68DB0C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FAED11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CBE6FA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鹿邑县劳动关系服务中心</w:t>
      </w:r>
    </w:p>
    <w:p w14:paraId="01FA3C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38F307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AFE3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C482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A8C2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5C56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9E01E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2736D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3784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7450F5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7EA349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鹿邑县劳动关系服务中心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210182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78F86E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二、鹿邑县劳动关系服务中心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45733F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鹿邑县劳动关系服务中心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6AE6D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6BD29D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鹿邑县劳动关系服务中心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034C1F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428F0F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5DFEB3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7290E7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52B5A5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5AEB2F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335814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3FA676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0BC4EC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07C52E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0D0B4F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550AA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600EE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1DAECF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7B548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49DED7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42D90711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094B1D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</w:p>
    <w:p w14:paraId="5BE44A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鹿邑县劳动关系服务中心概况</w:t>
      </w:r>
    </w:p>
    <w:p w14:paraId="0C90E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EA477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0F5ABE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鹿邑县劳动关系服务中心下设办公室一个科室。</w:t>
      </w:r>
    </w:p>
    <w:p w14:paraId="222A46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6E132E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(1)宣传劳动保障法律、法规和规章，督促用人单位贯彻执行；督促用人单位遵守劳动保障法律、法规和规章的情况；受理对违反劳动保障法律、法规或者规章的行为的举报、投诉；依法纠正和查处违反劳动保障法律、法规或者规章的行为。</w:t>
      </w:r>
    </w:p>
    <w:p w14:paraId="64D8B4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(2)统筹拟定落实劳动、人事争议调解仲裁制度的实施，规范指导劳动、人事争议调解工作；指导开展劳动、人事争议预防工作；依法组织处理重大劳动、人事争议；承担劳动、人事争议仲裁委员会办公室日常工作。</w:t>
      </w:r>
    </w:p>
    <w:p w14:paraId="67E20C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(3)负责人力资源和社会保障局交办的其他工作。</w:t>
      </w:r>
      <w:bookmarkStart w:id="0" w:name="_GoBack"/>
      <w:bookmarkEnd w:id="0"/>
    </w:p>
    <w:p w14:paraId="29416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二、鹿邑县劳动关系服务中心预算单位构成</w:t>
      </w:r>
    </w:p>
    <w:p w14:paraId="4EDC67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本预算构成为鹿邑县劳动关系服务中心本级预算。</w:t>
      </w:r>
    </w:p>
    <w:p w14:paraId="43451E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917C7D9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2B2E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</w:p>
    <w:p w14:paraId="5EE1D3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鹿邑县劳动关系服务中心2024年单位预算情况说明</w:t>
      </w:r>
    </w:p>
    <w:p w14:paraId="24B80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7401A0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鹿邑县劳动关系服务中心单位2024年收入总计28.80万元，支出总计28.80万元，与2023年预算相比，收、支总计减少3.20万元，下降10.00%，主要原因是：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2A6D8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672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454797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鹿邑县劳动关系服务中心单位2024年收入合计28.80万元，其中：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28.80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68447F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1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7E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1F146C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鹿邑县劳动关系服务中心单位2024年支出合计28.80万元，其中：项目支出28.80万元，占100.00%。</w:t>
      </w:r>
    </w:p>
    <w:p w14:paraId="5DD192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F06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7EABE7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鹿邑县劳动关系服务中心单位2024年一般公共预算收支预算28.80万元，政府性基金收支预算0.00万元，国有资本经营预算0.00万元。与2023年相比，一般公共预算收支预算减少3.20万元，下降10.00%，主要原因是：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：******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2D105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7D6B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08E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132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鹿邑县劳动关系服务中心单位2024年一般公共预算支出年初预算为28.80万元。其中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项目支出28.80万元，占100.00%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44E64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1、社会保障和就业支出28.80万元，占100.00%。其中：人力资源和社会保障管理事务（款）行政运行（项）28.80万元；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D9F6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A3D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7FF25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鹿邑县劳动关系服务中心单位2024年未安排一般公共预算基本支出。</w:t>
      </w:r>
    </w:p>
    <w:p w14:paraId="7D082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5E82A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鹿邑县劳动关系服务中心单位2024年未安排一般公共预算基本支出。</w:t>
      </w:r>
    </w:p>
    <w:p w14:paraId="01564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7D5B7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鹿邑县劳动关系服务中心2024年单位机构运行经费支出预算0.00万元，主要保障机关机构正常运转及正常履职需要的办公费、水电费、物业费、维修费、差旅费等支出，与2023年相比持平，主要原因：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0B488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350AD5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鹿邑县劳动关系服务中心2024年单位预算支出28.80万元，其中：302商品和服务支出28.80万元，主要包括：办公费28.80万元。</w:t>
      </w:r>
    </w:p>
    <w:p w14:paraId="153F8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1090B0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B28177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723CF6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2ECFD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******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1A7F8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0EC85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50515"/>
            <wp:effectExtent l="4445" t="4445" r="19685" b="10160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BCA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0101DA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鹿邑县劳动关系服务中心2024年无政府性基金预算拨款安排的支出。</w:t>
      </w:r>
    </w:p>
    <w:p w14:paraId="32748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1C0850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鹿邑县劳动关系服务中心2024年无国有资本经营预算拨款安排的支出。</w:t>
      </w:r>
    </w:p>
    <w:p w14:paraId="08B25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749A73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3FD77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5F13A4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28.80万元，其中：人员经费支出0.00万元，公用经费支出0.00万元，项目支出总额28.80万元。支出项目共1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4067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41792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5F98A0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4D9CAB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324629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0AB3EB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3A0BA0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鹿邑县劳动关系服务中心2024年没有债务收入支出项目安排。</w:t>
      </w:r>
    </w:p>
    <w:p w14:paraId="7F03D5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643E6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</w:p>
    <w:p w14:paraId="248B3C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2E031B9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071537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13746C5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2C95133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095C7F9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6B812F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31B3D0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250CFC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26738CD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47FCB3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7314EFB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FBEE3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04B3A81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附件：鹿邑县劳动关系服务中心2024年度单位预算表</w:t>
      </w:r>
    </w:p>
    <w:p w14:paraId="1B8E4BA4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D79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8A57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XW5UtAAAAAFAQAADwAAAAAAAAABACAAAAAiAAAAZHJzL2Rvd25yZXYueG1s&#10;UEsBAhQAFAAAAAgAh07iQAiHaesAAgAAC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18A57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27F11105"/>
    <w:rsid w:val="41F24B86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28.8</c:v>
                </c:pt>
                <c:pt idx="1" c:formatCode="#,##0.00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10061056543669"/>
                  <c:y val="0.034537201499901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42236596942322"/>
                  <c:y val="-0.19570855222309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56306093325141"/>
                  <c:y val="0.021511742648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25627636893552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5346554728845"/>
                  <c:y val="0.6716855347477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</c:v>
                </c:pt>
                <c:pt idx="1">
                  <c:v>28.8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0</c:v>
                </c:pt>
                <c:pt idx="1">
                  <c:v>28.8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28.8</c:v>
                </c:pt>
                <c:pt idx="1" c:formatCode="#,##0.00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5098641251701"/>
                  <c:y val="-0.11789631092664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31786542923434"/>
                  <c:y val="0.66386269582886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63852499778642"/>
                  <c:y val="0.074674785814793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179892354612"/>
                  <c:y val="0.03612262629454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[鹿邑预算公开图表模板.xlsx]Sheet1!$D$119:$D$124</c:f>
              <c:strCache>
                <c:ptCount val="6"/>
                <c:pt idx="0">
                  <c:v>社会保障和就业支出</c:v>
                </c:pt>
              </c:strCache>
            </c:strRef>
          </c:cat>
          <c:val>
            <c:numRef>
              <c:f>[鹿邑预算公开图表模板.xlsx]Sheet1!$E$119:$E$124</c:f>
              <c:numCache>
                <c:formatCode>0.00"万""元，"</c:formatCode>
                <c:ptCount val="6"/>
                <c:pt idx="0">
                  <c:v>28.8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[鹿邑预算公开图表模板.xlsx]Sheet1!$D$190:$E$190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[鹿邑预算公开图表模板.xlsx]Sheet1!$D$191:$E$191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487de-0a32-4fd5-9183-206a97c82c11}">
  <ds:schemaRefs/>
</ds:datastoreItem>
</file>

<file path=customXml/itemProps3.xml><?xml version="1.0" encoding="utf-8"?>
<ds:datastoreItem xmlns:ds="http://schemas.openxmlformats.org/officeDocument/2006/customXml" ds:itemID="{a1decad8-b6c1-418f-9563-72543b48b74f}">
  <ds:schemaRefs/>
</ds:datastoreItem>
</file>

<file path=customXml/itemProps4.xml><?xml version="1.0" encoding="utf-8"?>
<ds:datastoreItem xmlns:ds="http://schemas.openxmlformats.org/officeDocument/2006/customXml" ds:itemID="{3c44b0d8-c613-4887-88e7-711b9624a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3658</Words>
  <Characters>4067</Characters>
  <TotalTime>1</TotalTime>
  <ScaleCrop>false</ScaleCrop>
  <LinksUpToDate>false</LinksUpToDate>
  <CharactersWithSpaces>4078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2024-08-26T02:51:56Z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88E1418BAE344EA286FC7DF85E2D3B3E_13</vt:lpwstr>
  </property>
</Properties>
</file>