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8D4E7">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C49DAAB">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EBE8507">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36C9369">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B52ADCC">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EBD570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E75E3BA">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438940F">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1031997">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lang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lang w:eastAsia="zh-CN"/>
          <w14:textOutline w14:w="7972" w14:cap="sq" w14:cmpd="sng">
            <w14:solidFill>
              <w14:srgbClr w14:val="000000"/>
            </w14:solidFill>
            <w14:prstDash w14:val="solid"/>
            <w14:bevel/>
          </w14:textOutline>
        </w:rPr>
        <w:t>鹿邑县市政园林服务中心</w:t>
      </w:r>
    </w:p>
    <w:p w14:paraId="108377E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部门</w:t>
      </w: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预算</w:t>
      </w:r>
    </w:p>
    <w:p w14:paraId="3618C10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F40A98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81983D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B4BFA5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99C5A6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C1C467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4E3AAC1">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4D520A6">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5B0C6B26">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59B4E9D2">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lang w:eastAsia="zh-CN"/>
        </w:rPr>
        <w:t>鹿邑县市政园林服务中心</w:t>
      </w:r>
      <w:r>
        <w:rPr>
          <w:rFonts w:ascii="黑体" w:hAnsi="黑体" w:eastAsia="黑体" w:cs="黑体"/>
          <w:spacing w:val="11"/>
          <w:sz w:val="31"/>
          <w:szCs w:val="31"/>
          <w:highlight w:val="none"/>
        </w:rPr>
        <w:t>概况</w:t>
      </w:r>
    </w:p>
    <w:p w14:paraId="05157BE4">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6189B4FE">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w:t>
      </w:r>
      <w:r>
        <w:rPr>
          <w:rFonts w:ascii="仿宋" w:hAnsi="仿宋" w:eastAsia="仿宋" w:cs="仿宋"/>
          <w:color w:val="313131"/>
          <w:spacing w:val="9"/>
          <w:sz w:val="31"/>
          <w:szCs w:val="31"/>
          <w:highlight w:val="none"/>
        </w:rPr>
        <w:t>预算单位构成</w:t>
      </w:r>
    </w:p>
    <w:p w14:paraId="5C134AE9">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lang w:eastAsia="zh-CN"/>
        </w:rPr>
        <w:t>鹿邑县市政园林服务中心</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预算情况说明</w:t>
      </w:r>
    </w:p>
    <w:p w14:paraId="388324F5">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3C1FB0B2">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lang w:eastAsia="zh-CN"/>
        </w:rPr>
        <w:t>鹿邑县市政园林服务中心</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预算表</w:t>
      </w:r>
    </w:p>
    <w:p w14:paraId="5D39631E">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收支总体情况表</w:t>
      </w:r>
    </w:p>
    <w:p w14:paraId="6047190A">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收入总体情况表</w:t>
      </w:r>
    </w:p>
    <w:p w14:paraId="13D18DFA">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支出总体情况表</w:t>
      </w:r>
    </w:p>
    <w:p w14:paraId="6EF4AB13">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09049D44">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3D860BF1">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510D337E">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37527972">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3C1BDBB9">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3CC0D50B">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1690AB3A">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3142CD37">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41F66C1F">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305B23C3">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55083F29">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整体绩效目标表</w:t>
      </w:r>
    </w:p>
    <w:p w14:paraId="0B0C5EF3">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3CCA697B">
      <w:pPr>
        <w:rPr>
          <w:rFonts w:hint="eastAsia" w:ascii="仿宋" w:hAnsi="仿宋" w:eastAsia="仿宋" w:cs="仿宋"/>
          <w:spacing w:val="8"/>
          <w:sz w:val="31"/>
          <w:szCs w:val="31"/>
          <w:highlight w:val="none"/>
          <w:lang w:val="en-US" w:eastAsia="zh-CN"/>
        </w:rPr>
      </w:pPr>
      <w:r>
        <w:br w:type="page"/>
      </w:r>
    </w:p>
    <w:p w14:paraId="0E8344EF">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w:t>
      </w:r>
      <w:r>
        <w:rPr>
          <w:rFonts w:hint="eastAsia" w:ascii="黑体" w:hAnsi="黑体" w:eastAsia="黑体" w:cs="黑体"/>
          <w:spacing w:val="19"/>
          <w:sz w:val="31"/>
          <w:szCs w:val="31"/>
          <w:highlight w:val="none"/>
          <w:lang w:eastAsia="zh-CN"/>
        </w:rPr>
        <w:t>鹿邑县市政园林服务中心</w:t>
      </w:r>
      <w:r>
        <w:rPr>
          <w:rFonts w:hint="eastAsia" w:ascii="黑体" w:hAnsi="黑体" w:eastAsia="黑体" w:cs="黑体"/>
          <w:spacing w:val="19"/>
          <w:sz w:val="31"/>
          <w:szCs w:val="31"/>
          <w:highlight w:val="none"/>
        </w:rPr>
        <w:t>概况</w:t>
      </w:r>
    </w:p>
    <w:p w14:paraId="708DBBB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47B3AF83">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14474218">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yellow"/>
          <w:lang w:val="en-US" w:eastAsia="zh-CN" w:bidi="ar-SA"/>
        </w:rPr>
        <w:t>鹿邑县市政园林服务中心是主管城区内园林绿化的设计、规划、维护、管理，城区景观照明及其附属设施的维护与管理工作及市政基础设施维护与管理的部门，机构规格为正科级。现有编制86人，其中事业编制86人；在职人员 70人，遗属人员 2 人。内设11个科室、12个大队，所属事业单位0个。十一个科室分别为办公室，人事股，计财股，园林绿化股，景观照明股，后勤保障股，督察监督股，园林设施股，上清湖管理办公室，苗圃管理办公室，涡河公园管理办公室。九个大队分别是园林绿化一队、园林绿化二队、园林绿化三队、园林绿化四队、园林绿化五队、园林绿化六队、园林绿化七队、园林绿化八队、园林绿化九队、园林绿化十队、园林绿化十一队、园林绿化十二队。</w:t>
      </w:r>
    </w:p>
    <w:p w14:paraId="6A09D1BC">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部门职责</w:t>
      </w:r>
    </w:p>
    <w:p w14:paraId="0B5CF39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 xml:space="preserve">1、贯彻执行城市规划区内的市政基础设施管理的法律、法规、规章和政策。 </w:t>
      </w:r>
    </w:p>
    <w:p w14:paraId="66E1670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2、按照有关规定，对消防、规划、住建、城管、电力、通讯、公安、供暖（气、水）等建设单位和个人，进行市政设施新建、改建、迁建、扩建施工许可审批。</w:t>
      </w:r>
    </w:p>
    <w:p w14:paraId="14B8022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3、负责市政道路临时占用、挖掘、排水设施使用监督管理。</w:t>
      </w:r>
    </w:p>
    <w:p w14:paraId="0AF2734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4、负责市政道路、桥梁、地下管线的建设管理、维护。</w:t>
      </w:r>
    </w:p>
    <w:p w14:paraId="55C2FD8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5、负责路边石、花沿石、窨井盖的管理和维护。</w:t>
      </w:r>
    </w:p>
    <w:p w14:paraId="21537AF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6、负责城市市政建设工程项目的考察分析、方案设计、图纸设计。</w:t>
      </w:r>
    </w:p>
    <w:p w14:paraId="5B533F1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7、负责中心城区、新城区、产业集聚区、湿地公园、上清湖、游园（五河办管理的除外）等园林绿化的设计、规划、维护、管理等。</w:t>
      </w:r>
    </w:p>
    <w:p w14:paraId="1F57D9A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8、负责城区景观照明及其附属设施的维护与管理工作。</w:t>
      </w:r>
    </w:p>
    <w:p w14:paraId="299B250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9、负责授权行使法律赋予的行政处罚权。</w:t>
      </w:r>
    </w:p>
    <w:p w14:paraId="62135B6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10、承办县委、县政府交办的其他事项。</w:t>
      </w:r>
    </w:p>
    <w:p w14:paraId="7ED4953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二、预算单位构成</w:t>
      </w:r>
    </w:p>
    <w:p w14:paraId="7E5D486F">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纳入本部门2024年预算编制范围的单位共一个：鹿邑县市政园林服务中心本级，无二级预算单位。</w:t>
      </w:r>
    </w:p>
    <w:p w14:paraId="19A78FA0">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4BA3251A">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w:t>
      </w:r>
      <w:r>
        <w:rPr>
          <w:rFonts w:hint="eastAsia" w:ascii="黑体" w:hAnsi="黑体" w:eastAsia="黑体" w:cs="黑体"/>
          <w:spacing w:val="19"/>
          <w:sz w:val="31"/>
          <w:szCs w:val="31"/>
          <w:highlight w:val="none"/>
          <w:lang w:eastAsia="zh-CN"/>
        </w:rPr>
        <w:t>鹿邑县市政园林服务中心</w:t>
      </w:r>
      <w:r>
        <w:rPr>
          <w:rFonts w:hint="eastAsia" w:ascii="黑体" w:hAnsi="黑体" w:eastAsia="黑体" w:cs="黑体"/>
          <w:spacing w:val="19"/>
          <w:sz w:val="31"/>
          <w:szCs w:val="31"/>
          <w:highlight w:val="none"/>
        </w:rPr>
        <w:t>2024年部门预算情况说明</w:t>
      </w:r>
    </w:p>
    <w:p w14:paraId="0129265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2970B4F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鹿邑县市政园林服务中心2024年收入总计5046.45万元，支出总计5046.45万元，与2023年预算相比，收、支总计减少2005.21万元，下降28.44%，主要原因是：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6680AECC">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2971800"/>
            <wp:effectExtent l="4445" t="4445" r="1587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6EC1FD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445FC76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鹿邑县市政园林服务中心2024年收入合计5046.45万元，其中：</w:t>
      </w:r>
      <w:r>
        <w:rPr>
          <w:rFonts w:hint="eastAsia" w:ascii="仿宋" w:hAnsi="仿宋" w:eastAsia="仿宋" w:cs="仿宋"/>
          <w:snapToGrid/>
          <w:color w:val="000000"/>
          <w:kern w:val="2"/>
          <w:sz w:val="32"/>
          <w:szCs w:val="32"/>
          <w:highlight w:val="none"/>
          <w:lang w:val="en-US" w:eastAsia="zh-CN" w:bidi="ar-SA"/>
        </w:rPr>
        <w:t>一般公共预算收入</w:t>
      </w:r>
      <w:r>
        <w:rPr>
          <w:rFonts w:hint="eastAsia" w:ascii="仿宋" w:hAnsi="仿宋" w:eastAsia="仿宋" w:cs="仿宋"/>
          <w:snapToGrid/>
          <w:kern w:val="2"/>
          <w:sz w:val="32"/>
          <w:szCs w:val="32"/>
          <w:highlight w:val="none"/>
          <w:lang w:val="en-US" w:eastAsia="zh-CN" w:bidi="ar-SA"/>
        </w:rPr>
        <w:t>2642.67</w:t>
      </w:r>
      <w:r>
        <w:rPr>
          <w:rFonts w:hint="eastAsia" w:ascii="仿宋" w:hAnsi="仿宋" w:eastAsia="仿宋" w:cs="仿宋"/>
          <w:snapToGrid/>
          <w:color w:val="000000"/>
          <w:kern w:val="2"/>
          <w:sz w:val="32"/>
          <w:szCs w:val="32"/>
          <w:highlight w:val="none"/>
          <w:lang w:val="en-US" w:eastAsia="zh-CN" w:bidi="ar-SA"/>
        </w:rPr>
        <w:t>万元;政府性基金收入</w:t>
      </w:r>
      <w:r>
        <w:rPr>
          <w:rFonts w:hint="eastAsia" w:ascii="仿宋" w:hAnsi="仿宋" w:eastAsia="仿宋" w:cs="仿宋"/>
          <w:snapToGrid/>
          <w:kern w:val="2"/>
          <w:sz w:val="32"/>
          <w:szCs w:val="32"/>
          <w:highlight w:val="none"/>
          <w:lang w:val="en-US" w:eastAsia="zh-CN" w:bidi="ar-SA"/>
        </w:rPr>
        <w:t>1465.85</w:t>
      </w:r>
      <w:r>
        <w:rPr>
          <w:rFonts w:hint="eastAsia" w:ascii="仿宋" w:hAnsi="仿宋" w:eastAsia="仿宋" w:cs="仿宋"/>
          <w:snapToGrid/>
          <w:color w:val="000000"/>
          <w:kern w:val="2"/>
          <w:sz w:val="32"/>
          <w:szCs w:val="32"/>
          <w:highlight w:val="none"/>
          <w:lang w:val="en-US" w:eastAsia="zh-CN" w:bidi="ar-SA"/>
        </w:rPr>
        <w:t>万元;国有资本经营预算收入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937.93</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p>
    <w:p w14:paraId="30E9EF6E">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812030" cy="3393440"/>
            <wp:effectExtent l="4445" t="4445" r="9525" b="571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FF315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5C9ED49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鹿邑县市政园林服务中心2024年支出合计5046.45万元，其中：基本支出482.17万元，占9.55%；项目支出4564.28万元，占90.45%。</w:t>
      </w:r>
    </w:p>
    <w:p w14:paraId="0F1BC034">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881880" cy="3393440"/>
            <wp:effectExtent l="4445" t="4445" r="15875" b="571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A34BE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04527EF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鹿邑县市政园林服务中心2024年一般公共预算收支预算3580.60万元，政府性基金收支预算1465.85万元，国有资本经营预算0.00万元。与2023年相比，一般公共预算收支预算减少365.82万元，下降9.27%，主要原因是：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；政府性基金收支预算减少1639.39万元，下降52.79%，主要原因是：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189027BC">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2976880"/>
            <wp:effectExtent l="4445" t="4445" r="15875" b="571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262FD7">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p>
    <w:p w14:paraId="1AD2AA77">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4734560" cy="2895600"/>
            <wp:effectExtent l="4445" t="4445" r="15875" b="1079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AECAA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77A02C4C">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鹿邑县市政园林服务中心2024年一般公共预算支出年初预算为2642.67万元。其中</w:t>
      </w:r>
      <w:r>
        <w:rPr>
          <w:rFonts w:hint="eastAsia" w:ascii="仿宋" w:hAnsi="仿宋" w:eastAsia="仿宋" w:cs="仿宋"/>
          <w:sz w:val="32"/>
          <w:szCs w:val="32"/>
          <w:highlight w:val="none"/>
          <w:lang w:val="en-US" w:eastAsia="zh-CN"/>
        </w:rPr>
        <w:t>基本支出482.17万元，占18.25%；项目支出2160.50万元，占81.75%</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19BD11EE">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社会保障和就业支出76.85万元，占2.91%。其中：行政事业单位养老支出（款）机关事业单位基本养老保险缴费支出（项）67.94万元；其他社会保障和就业支出（款）其他社会保障和就业支出（项）8.91万元；</w:t>
      </w:r>
    </w:p>
    <w:p w14:paraId="116BA720">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1" w:firstLineChars="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卫生健康支出27.80万元，占1.05%。其中：行政事业单位医疗（款）事业单位医疗（项）24.88万元；行政事业单位医疗（款）其他行政事业单位医疗支出（项）2.92万元；</w:t>
      </w:r>
    </w:p>
    <w:p w14:paraId="26B5BE28">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1" w:firstLineChars="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城乡社区支出2481.79万元，占93.91%。其中：城乡社区环境卫生（款）城乡社区环境卫生（项）2481.79万元；</w:t>
      </w:r>
    </w:p>
    <w:p w14:paraId="36EEF793">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1" w:firstLineChars="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住房保障支出56.23万元，占2.13%。其中：住房改革支出（款）住房公积金（项）56.23万元。</w:t>
      </w:r>
    </w:p>
    <w:p w14:paraId="1CF969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250180" cy="3613150"/>
            <wp:effectExtent l="4445" t="4445" r="18415" b="952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ABEA5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1" w:leftChars="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62AB644A">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鹿邑县市政园林服务中心2024年一般公共预算基本支出年初预算为482.17万元，其中：人员经费支出478.27万元，占99.19%；公用经费支出3.90万元，占0.81%。</w:t>
      </w:r>
    </w:p>
    <w:p w14:paraId="48DAE025">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5187315" cy="3592830"/>
            <wp:effectExtent l="4445" t="4445" r="5080" b="1460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54D6E0">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06971C2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1E4D783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市政园林服务中心2024年一般公共预算基本支出年初预算为482.17万元，其中：人员经费支出478.27万元，占99.19%；主要包括：基本工资259.76万元、津贴补贴17.68万元、绩效工资72.50万元、机关事业单位基本养老保险缴费54.74万元、职工基本医疗保险缴费22.24万元、其他社会保障缴费6.95万元、住房公积金40.39万元、退休费2.20万元、生活补助1.81万元。公用经费支出3.90万元，占0.81%。主要包括：办公费1.00万元、差旅费2.00万元、其他商品和服务支出0.90万元。</w:t>
      </w:r>
    </w:p>
    <w:p w14:paraId="33396BF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186DBD1F">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市政园林服务中心2024年机构运行经费支出预算3.90万元，主要保障机关机构正常运转及正常履职需要的办公费、水电费、物业费、维修费、差旅费等支出，与2023年相比，增加0.12万元，增长3.17%，主要原因是：</w:t>
      </w:r>
      <w:r>
        <w:rPr>
          <w:rFonts w:hint="eastAsia" w:ascii="仿宋_GB2312" w:hAnsi="Times New Roman" w:eastAsia="仿宋_GB2312" w:cs="仿宋_GB2312"/>
          <w:kern w:val="2"/>
          <w:sz w:val="32"/>
          <w:szCs w:val="32"/>
          <w:highlight w:val="yellow"/>
          <w:lang w:val="en-US" w:eastAsia="zh-CN"/>
        </w:rPr>
        <w:t>*******</w:t>
      </w:r>
      <w:r>
        <w:rPr>
          <w:rFonts w:hint="eastAsia" w:ascii="仿宋_GB2312" w:hAnsi="Times New Roman" w:eastAsia="仿宋_GB2312" w:cs="仿宋_GB2312"/>
          <w:kern w:val="2"/>
          <w:sz w:val="32"/>
          <w:szCs w:val="32"/>
          <w:highlight w:val="none"/>
          <w:lang w:val="en-US" w:eastAsia="zh-CN"/>
        </w:rPr>
        <w:t>。</w:t>
      </w:r>
    </w:p>
    <w:p w14:paraId="06F2F96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7B5D2D34">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市政园林服务中心2024年预算支出5046.45万元，其中：301工资福利支出546.96万元，主要包括：基本工资294.63万元、津贴补贴17.68万元、绩效工资72.50万元、机关事业单位基本养老保险缴费67.94万元、职工基本医疗保险缴费24.88万元、其他社会保障缴费9.71万元、住房公积金56.23万元、其他工资福利支出3.39万元；302商品和服务支出2822.55万元，主要包括：办公费11.35万元、差旅费2.00万元、公务接待费2.00万元、劳务费262.07万元、公务用车运行维护费3.00万元、其他商品和服务支出2542.13万元；303对个人和家庭的补助支出4.86万元，主要包括：退休费2.74万元、抚恤金0.31万元、生活补助1.81万元；309资本性支出（基本建设）1465.85万元，主要包括：基础设施建设1465.85万元；310资本性支出206.23万元，主要包括：其他交通工具购置200.23万元、其他资本性支出6.00万元。</w:t>
      </w:r>
    </w:p>
    <w:p w14:paraId="243CB31E">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698A86A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鹿邑县市政园林服务中心2024年“三公”经费预算为5.00万元。2024年“三公”经费支出预算数较2023年增加2.50万元，增加100.00%，主要原因是：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6EA75958">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4858187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5E55588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(二)公务用车购置及运行费3.00万元，其中，公务用车购置费0.00万元，主要用于单位公务用车购置支出（含车辆购置税、牌照费），较2023年持平，主要原因是：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；公务用车运行维护费3.00万元，主要用于开展工作所需公务用车的燃料费、维修费、过路过桥费、保险费、安全奖励费用等支出，较2023年增加3.00万元，增长100.00%，主要原因是：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1E28611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(三)公务接待费2.00万元，主要用于按规定开支的各类公务接待(含外宾接待)支出。预算数较2023年减少0.50万元，下降20.00%，主要原因是：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4E058D1C">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45990" cy="2895600"/>
            <wp:effectExtent l="4445" t="4445" r="19685" b="10795"/>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22906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0FB04CA0">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鹿邑县市政园林服务中心2024年政府性基金预算拨款安排的支出1465.85万元，主要用于：</w:t>
      </w:r>
      <w:r>
        <w:rPr>
          <w:rFonts w:hint="eastAsia" w:ascii="仿宋" w:hAnsi="仿宋" w:eastAsia="仿宋" w:cs="仿宋"/>
          <w:snapToGrid/>
          <w:color w:val="000000"/>
          <w:kern w:val="2"/>
          <w:sz w:val="32"/>
          <w:szCs w:val="32"/>
          <w:highlight w:val="yellow"/>
          <w:lang w:val="en-US" w:eastAsia="zh-CN" w:bidi="ar-SA"/>
        </w:rPr>
        <w:t>*******</w:t>
      </w:r>
      <w:r>
        <w:rPr>
          <w:rFonts w:hint="eastAsia" w:ascii="仿宋" w:hAnsi="仿宋" w:eastAsia="仿宋" w:cs="仿宋"/>
          <w:snapToGrid/>
          <w:color w:val="000000"/>
          <w:kern w:val="2"/>
          <w:sz w:val="32"/>
          <w:szCs w:val="32"/>
          <w:highlight w:val="none"/>
          <w:lang w:val="en-US" w:eastAsia="zh-CN" w:bidi="ar-SA"/>
        </w:rPr>
        <w:t>。</w:t>
      </w:r>
    </w:p>
    <w:p w14:paraId="33F61E15">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color w:val="000000"/>
          <w:kern w:val="2"/>
          <w:sz w:val="32"/>
          <w:szCs w:val="32"/>
          <w:highlight w:val="none"/>
          <w:lang w:val="en-US" w:eastAsia="zh-CN" w:bidi="ar-SA"/>
        </w:rPr>
      </w:pPr>
      <w:r>
        <w:drawing>
          <wp:inline distT="0" distB="0" distL="114300" distR="114300">
            <wp:extent cx="4734560" cy="2895600"/>
            <wp:effectExtent l="4445" t="4445" r="15875" b="10795"/>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F1329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0735CE72">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鹿邑县市政园林服务中心2024年无国有资本经营预算拨款安排的支出。</w:t>
      </w:r>
    </w:p>
    <w:p w14:paraId="6F2E802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54E2FD0A">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鹿邑县市政园林服务中心</w:t>
      </w:r>
      <w:r>
        <w:rPr>
          <w:rFonts w:hint="eastAsia" w:ascii="仿宋" w:hAnsi="仿宋" w:eastAsia="仿宋" w:cs="仿宋"/>
          <w:snapToGrid/>
          <w:kern w:val="2"/>
          <w:sz w:val="32"/>
          <w:szCs w:val="32"/>
          <w:highlight w:val="none"/>
          <w:lang w:val="en-US" w:eastAsia="zh-CN" w:bidi="ar-SA"/>
        </w:rPr>
        <w:t>政府采购预算安排0.00万元，其中：政府采购货物预算0.00万元、政府采购工程预算0.00万元、政府采购服务预算0.00万元。</w:t>
      </w:r>
    </w:p>
    <w:p w14:paraId="25A62BB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4B02B1ED">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鹿邑县市政园林服务中心</w:t>
      </w:r>
      <w:r>
        <w:rPr>
          <w:rFonts w:hint="eastAsia" w:ascii="仿宋" w:hAnsi="仿宋" w:eastAsia="仿宋" w:cs="仿宋"/>
          <w:snapToGrid/>
          <w:kern w:val="2"/>
          <w:sz w:val="32"/>
          <w:szCs w:val="32"/>
          <w:highlight w:val="none"/>
          <w:lang w:val="en-US" w:eastAsia="zh-CN" w:bidi="ar-SA"/>
        </w:rPr>
        <w:t>纳入预算绩效管理的支出总额为5046.45万元，其中：人员经费支出478.27万元，公用经费支出3.90万元，项目支出总额4,564.28万元。支出项目共41个，其中：预算支出100万元及100万元以上的重点项目8个，支出总额4037.40万元。均按要求编制了绩效目标，从项目产出、项目效益、满意度等方面设置了绩效指标，综合反映项目预期完成的数量、实效、质量，预期达到的社会经济效益、可持续影响以及服务对象满意度等情况。</w:t>
      </w:r>
    </w:p>
    <w:p w14:paraId="040BECB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53B3F964">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7C1FAEB4">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w:t>
      </w:r>
      <w:r>
        <w:rPr>
          <w:rFonts w:hint="eastAsia" w:ascii="仿宋_GB2312" w:hAnsi="Times New Roman" w:eastAsia="仿宋_GB2312" w:cs="仿宋_GB2312"/>
          <w:kern w:val="2"/>
          <w:sz w:val="32"/>
          <w:szCs w:val="32"/>
          <w:highlight w:val="none"/>
          <w:lang w:val="en-US" w:eastAsia="zh-CN"/>
        </w:rPr>
        <w:t>鹿邑县市政园林服务中心</w:t>
      </w:r>
      <w:r>
        <w:rPr>
          <w:rFonts w:hint="eastAsia" w:ascii="仿宋" w:hAnsi="仿宋" w:eastAsia="仿宋" w:cs="仿宋"/>
          <w:snapToGrid/>
          <w:kern w:val="2"/>
          <w:sz w:val="32"/>
          <w:szCs w:val="32"/>
          <w:highlight w:val="none"/>
          <w:lang w:val="en-US" w:eastAsia="zh-CN" w:bidi="ar-SA"/>
        </w:rPr>
        <w:t>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万元。车辆共有</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辆，执法执勤车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台（套），单位价值100万元以上专用设备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台（套）。</w:t>
      </w:r>
    </w:p>
    <w:p w14:paraId="24EC769A">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12C534FD">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市政园林服务中心负责管理的专项转移支付项目共有0项，我单位无负责管理的专项转移支付项目资金。我单位将按照《预算法》等有关规定,积极做好项目分配前期准备工作，在规定的时间内向财政部门提出资金分配意见，根据有关要求做好项目申报公开等相关工作。</w:t>
      </w:r>
    </w:p>
    <w:p w14:paraId="08F02EDC">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376C141E">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鹿邑县市政园林管理中心2024年无债务收入支出项目安排。</w:t>
      </w:r>
      <w:r>
        <w:br w:type="page"/>
      </w:r>
    </w:p>
    <w:p w14:paraId="0C05FFBD">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2DBD9AD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23EB993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6E307ED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4017C81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1A4F170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725EB11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D06C09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A61841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22FFC40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5B99BD5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33833E9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58B0745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1CB7285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6EAF23E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附件：鹿邑县市政园林服务中心2024年度部门预算表</w:t>
      </w:r>
    </w:p>
    <w:p w14:paraId="49002EE5">
      <w:pPr>
        <w:rPr>
          <w:rFonts w:hint="eastAsia" w:ascii="仿宋_GB2312" w:hAnsi="Calibri" w:eastAsia="仿宋_GB2312" w:cs="Times New Roman"/>
          <w:snapToGrid/>
          <w:kern w:val="2"/>
          <w:sz w:val="32"/>
          <w:szCs w:val="32"/>
          <w:highlight w:val="none"/>
          <w:lang w:val="en-US" w:eastAsia="zh-CN" w:bidi="ar-SA"/>
        </w:rPr>
      </w:pPr>
      <w:bookmarkStart w:id="0" w:name="_GoBack"/>
      <w:bookmarkEnd w:id="0"/>
    </w:p>
    <w:sectPr>
      <w:footerReference r:id="rId5" w:type="default"/>
      <w:pgSz w:w="11905" w:h="16837"/>
      <w:pgMar w:top="1440" w:right="1701" w:bottom="1440" w:left="1701"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3DF1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30752C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Y8hd0AICAAALBAAADgAAAAAAAAABACAAAAAfAQAAZHJzL2Uyb0Rv&#10;Yy54bWxQSwUGAAAAAAYABgBZAQAAkwUAAAAA&#10;">
              <v:fill on="f" focussize="0,0"/>
              <v:stroke on="f"/>
              <v:imagedata o:title=""/>
              <o:lock v:ext="edit" aspectratio="f"/>
              <v:textbox inset="0mm,0mm,0mm,0mm" style="mso-fit-shape-to-text:t;">
                <w:txbxContent>
                  <w:p w14:paraId="730752CB">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60328"/>
    <w:multiLevelType w:val="singleLevel"/>
    <w:tmpl w:val="A5860328"/>
    <w:lvl w:ilvl="0" w:tentative="0">
      <w:start w:val="1"/>
      <w:numFmt w:val="decimal"/>
      <w:suff w:val="nothing"/>
      <w:lvlText w:val="%1、"/>
      <w:lvlJc w:val="left"/>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56F10C0E"/>
    <w:rsid w:val="60A347DB"/>
    <w:rsid w:val="6A281953"/>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5046.45</c:v>
                </c:pt>
                <c:pt idx="1" c:formatCode="#,##0.00">
                  <c:v>7051.66</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340493408174265"/>
                  <c:y val="-0.107085362558711"/>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514035774368946"/>
                  <c:y val="-0.0799417133336291"/>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28999487252916"/>
                    </c:manualLayout>
                  </c15:layout>
                </c:ext>
              </c:extLst>
            </c:dLbl>
            <c:dLbl>
              <c:idx val="2"/>
              <c:layout>
                <c:manualLayout>
                  <c:x val="-0.37644801140246"/>
                  <c:y val="0.0486248959003919"/>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176310526315789"/>
                      <c:h val="0.160164271047228"/>
                    </c:manualLayout>
                  </c15:layout>
                </c:ext>
              </c:extLst>
            </c:dLbl>
            <c:dLbl>
              <c:idx val="3"/>
              <c:layout>
                <c:manualLayout>
                  <c:x val="0.388565438849017"/>
                  <c:y val="0.748818374638686"/>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c:v>
                </c:pt>
              </c:strCache>
            </c:strRef>
          </c:cat>
          <c:val>
            <c:numRef>
              <c:f>[鹿邑预算公开图表模板.xlsx]Sheet1!$D$21:$G$21</c:f>
              <c:numCache>
                <c:formatCode>#0.00"万""元"</c:formatCode>
                <c:ptCount val="4"/>
                <c:pt idx="0">
                  <c:v>937.93</c:v>
                </c:pt>
                <c:pt idx="1">
                  <c:v>2642.67</c:v>
                </c:pt>
                <c:pt idx="2">
                  <c:v>1465.85</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231626839076817"/>
                  <c:y val="0.0416897251429626"/>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254667504771564"/>
                  <c:y val="0.067849566500645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#0.00"万""元"</c:formatCode>
                <c:ptCount val="2"/>
                <c:pt idx="0">
                  <c:v>482.17</c:v>
                </c:pt>
                <c:pt idx="1">
                  <c:v>4564.28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dLbl>
              <c:idx val="0"/>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General</c:formatCode>
                <c:ptCount val="2"/>
                <c:pt idx="0">
                  <c:v>3580.6</c:v>
                </c:pt>
                <c:pt idx="1" c:formatCode="0.00_ ">
                  <c:v>3946.42</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财政拨款政府性基金变动情况图</a:t>
            </a:r>
          </a:p>
        </c:rich>
      </c:tx>
      <c:layout/>
      <c:overlay val="0"/>
      <c:spPr>
        <a:noFill/>
        <a:ln>
          <a:noFill/>
        </a:ln>
        <a:effectLst/>
      </c:spPr>
    </c:title>
    <c:autoTitleDeleted val="0"/>
    <c:plotArea>
      <c:layout>
        <c:manualLayout>
          <c:layoutTarget val="inner"/>
          <c:xMode val="edge"/>
          <c:yMode val="edge"/>
          <c:x val="0.128141308711361"/>
          <c:y val="0.166890080428954"/>
          <c:w val="0.844292787367858"/>
          <c:h val="0.72171581769437"/>
        </c:manualLayout>
      </c:layout>
      <c:barChart>
        <c:barDir val="col"/>
        <c:grouping val="clustered"/>
        <c:varyColors val="0"/>
        <c:ser>
          <c:idx val="0"/>
          <c:order val="0"/>
          <c:spPr>
            <a:solidFill>
              <a:schemeClr val="accent1"/>
            </a:solidFill>
            <a:ln>
              <a:noFill/>
            </a:ln>
            <a:effectLst/>
          </c:spPr>
          <c:invertIfNegative val="0"/>
          <c:dLbls>
            <c:dLbl>
              <c:idx val="0"/>
              <c:layout/>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[鹿邑预算公开图表模板.xlsx]Sheet1!$D$89:$E$89</c:f>
              <c:strCache>
                <c:ptCount val="2"/>
                <c:pt idx="0">
                  <c:v>2024年</c:v>
                </c:pt>
                <c:pt idx="1">
                  <c:v>2023年</c:v>
                </c:pt>
              </c:strCache>
            </c:strRef>
          </c:cat>
          <c:val>
            <c:numRef>
              <c:f>[鹿邑预算公开图表模板.xlsx]Sheet1!$D$90:$E$90</c:f>
              <c:numCache>
                <c:formatCode>#0.00"万""元"</c:formatCode>
                <c:ptCount val="2"/>
                <c:pt idx="0">
                  <c:v>1465.85</c:v>
                </c:pt>
                <c:pt idx="1" c:formatCode="0.00_ ">
                  <c:v>3105.24</c:v>
                </c:pt>
              </c:numCache>
            </c:numRef>
          </c:val>
        </c:ser>
        <c:dLbls>
          <c:showLegendKey val="0"/>
          <c:showVal val="1"/>
          <c:showCatName val="0"/>
          <c:showSerName val="0"/>
          <c:showPercent val="0"/>
          <c:showBubbleSize val="0"/>
        </c:dLbls>
        <c:gapWidth val="246"/>
        <c:overlap val="-28"/>
        <c:axId val="160929192"/>
        <c:axId val="698271744"/>
      </c:barChart>
      <c:catAx>
        <c:axId val="160929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271744"/>
        <c:crosses val="autoZero"/>
        <c:auto val="1"/>
        <c:lblAlgn val="ctr"/>
        <c:lblOffset val="100"/>
        <c:noMultiLvlLbl val="0"/>
      </c:catAx>
      <c:valAx>
        <c:axId val="698271744"/>
        <c:scaling>
          <c:orientation val="minMax"/>
          <c:min val="0"/>
        </c:scaling>
        <c:delete val="0"/>
        <c:axPos val="l"/>
        <c:majorGridlines>
          <c:spPr>
            <a:ln w="9525" cap="flat" cmpd="sng" algn="ctr">
              <a:solidFill>
                <a:schemeClr val="lt1">
                  <a:lumMod val="90200"/>
                </a:schemeClr>
              </a:solidFill>
              <a:round/>
            </a:ln>
            <a:effectLst/>
          </c:spPr>
        </c:majorGridlines>
        <c:numFmt formatCode="#0.00&quot;万&quot;&quot;元&quot;"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29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89121000878097"/>
                  <c:y val="0"/>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278108461549878"/>
                  <c:y val="0"/>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338914739073618"/>
                  <c:y val="-0.0713880800834709"/>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363785148769842"/>
                  <c:y val="0.162666010853031"/>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205785281932274"/>
                    </c:manualLayout>
                  </c15:layout>
                </c:ext>
              </c:extLst>
            </c:dLbl>
            <c:dLbl>
              <c:idx val="4"/>
              <c:layout>
                <c:manualLayout>
                  <c:x val="0.484073588113313"/>
                  <c:y val="0.060899442326051"/>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3375"/>
                  <c:y val="0.024113993423456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社会保障和就业支出</c:v>
                </c:pt>
                <c:pt idx="1">
                  <c:v>卫生健康支出</c:v>
                </c:pt>
                <c:pt idx="2">
                  <c:v>城乡社区支出</c:v>
                </c:pt>
                <c:pt idx="3">
                  <c:v>住房保障支出</c:v>
                </c:pt>
              </c:strCache>
            </c:strRef>
          </c:cat>
          <c:val>
            <c:numRef>
              <c:f>[鹿邑预算公开图表模板.xlsx]Sheet1!$E$103:$E$108</c:f>
              <c:numCache>
                <c:formatCode>#.00"万""元"</c:formatCode>
                <c:ptCount val="6"/>
                <c:pt idx="0">
                  <c:v>76.85</c:v>
                </c:pt>
                <c:pt idx="1">
                  <c:v>27.8</c:v>
                </c:pt>
                <c:pt idx="2">
                  <c:v>2481.79</c:v>
                </c:pt>
                <c:pt idx="3">
                  <c:v>56.23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86581115297501"/>
                  <c:y val="-7.36420407674836e-5"/>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40081889949335"/>
                    </c:manualLayout>
                  </c15:layout>
                </c:ext>
              </c:extLst>
            </c:dLbl>
            <c:dLbl>
              <c:idx val="1"/>
              <c:layout>
                <c:manualLayout>
                  <c:x val="-0.38158667877921"/>
                  <c:y val="-0.0366424846802556"/>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478.27</c:v>
                </c:pt>
                <c:pt idx="1" c:formatCode="#0.00&quot;万&quot;&quot;元&quot;">
                  <c:v>3.9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manualLayout>
          <c:layoutTarget val="inner"/>
          <c:xMode val="edge"/>
          <c:yMode val="edge"/>
          <c:x val="0.0817781337605126"/>
          <c:y val="0.169975462859692"/>
          <c:w val="0.892724602856761"/>
          <c:h val="0.72215034575061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[鹿邑预算公开图表模板.xlsx]Sheet1!$D$174:$E$174</c:f>
              <c:strCache>
                <c:ptCount val="2"/>
                <c:pt idx="0">
                  <c:v>2024年</c:v>
                </c:pt>
                <c:pt idx="1">
                  <c:v>2023年</c:v>
                </c:pt>
              </c:strCache>
            </c:strRef>
          </c:cat>
          <c:val>
            <c:numRef>
              <c:f>[鹿邑预算公开图表模板.xlsx]Sheet1!$D$175:$E$175</c:f>
              <c:numCache>
                <c:formatCode>#,##0.00</c:formatCode>
                <c:ptCount val="2"/>
                <c:pt idx="0">
                  <c:v>5</c:v>
                </c:pt>
                <c:pt idx="1" c:formatCode="0.00_ ">
                  <c:v>2.5</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min val="0"/>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政府性基金</a:t>
            </a:r>
            <a:r>
              <a:rPr altLang="en-US"/>
              <a:t>预算支出结构图</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53271778402248"/>
                  <c:y val="-0.255842180123857"/>
                </c:manualLayout>
              </c:layout>
              <c:numFmt formatCode="General" sourceLinked="0"/>
              <c:spPr>
                <a:noFill/>
                <a:ln>
                  <a:noFill/>
                </a:ln>
                <a:effectLst/>
              </c:spPr>
              <c:txPr>
                <a:bodyPr rot="0" spcFirstLastPara="0" vertOverflow="ellipsis" vert="horz" wrap="square" lIns="38100" tIns="19050" rIns="38100" bIns="19050" anchor="b"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45201410573021"/>
                  <c:y val="0.0875016148995494"/>
                </c:manualLayout>
              </c:layout>
              <c:numFmt formatCode="General" sourceLinked="0"/>
              <c:spPr>
                <a:noFill/>
                <a:ln>
                  <a:noFill/>
                </a:ln>
                <a:effectLst/>
              </c:spPr>
              <c:txPr>
                <a:bodyPr rot="0" spcFirstLastPara="0" vertOverflow="ellipsis" vert="horz" wrap="square" lIns="38100" tIns="19050" rIns="38100" bIns="19050" anchor="b"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manualLayout>
                      <c:w val="0.192292252107587"/>
                      <c:h val="0.243243243243243"/>
                    </c:manualLayout>
                  </c15:layout>
                </c:ext>
              </c:extLst>
            </c:dLbl>
            <c:numFmt formatCode="General" sourceLinked="0"/>
            <c:spPr>
              <a:noFill/>
              <a:ln>
                <a:noFill/>
              </a:ln>
              <a:effectLst/>
            </c:spPr>
            <c:txPr>
              <a:bodyPr rot="0" spcFirstLastPara="0" vertOverflow="ellipsis" vert="horz" wrap="square" lIns="38100" tIns="19050" rIns="38100" bIns="19050" anchor="b"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[鹿邑预算公开图表模板.xlsx]Sheet1!$D$154:$D$155</c:f>
              <c:strCache>
                <c:ptCount val="2"/>
                <c:pt idx="0">
                  <c:v>城市建设支出</c:v>
                </c:pt>
              </c:strCache>
            </c:strRef>
          </c:cat>
          <c:val>
            <c:numRef>
              <c:f>[鹿邑预算公开图表模板.xlsx]Sheet1!$E$154:$E$155</c:f>
              <c:numCache>
                <c:formatCode>#0.00"万""元"</c:formatCode>
                <c:ptCount val="2"/>
                <c:pt idx="0">
                  <c:v>1465.85</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ctr" anchorCtr="0"/>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2024-06-20T04:18:33Z</dcterms:modified>
</cp:coreProperties>
</file>

<file path=customXml/item3.xml><?xml version="1.0" encoding="utf-8"?>
<Properties xmlns="http://schemas.openxmlformats.org/officeDocument/2006/extended-properties" xmlns:vt="http://schemas.openxmlformats.org/officeDocument/2006/docPropsVTypes">
  <Pages>27</Pages>
  <Words>4610</Words>
  <Characters>12089</Characters>
  <TotalTime>0</TotalTime>
  <ScaleCrop>false</ScaleCrop>
  <LinksUpToDate>false</LinksUpToDate>
  <CharactersWithSpaces>12236</CharactersWithSpaces>
  <Application>WPS Office_12.1.0.16929_F1E327BC-269C-435d-A152-05C5408002CA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3959bb-1be2-4e3a-96dd-b58fb6023b5c}">
  <ds:schemaRefs/>
</ds:datastoreItem>
</file>

<file path=customXml/itemProps3.xml><?xml version="1.0" encoding="utf-8"?>
<ds:datastoreItem xmlns:ds="http://schemas.openxmlformats.org/officeDocument/2006/customXml" ds:itemID="{639a71d5-5b0a-4c14-b3b5-84149af6e439}">
  <ds:schemaRefs/>
</ds:datastoreItem>
</file>

<file path=customXml/itemProps4.xml><?xml version="1.0" encoding="utf-8"?>
<ds:datastoreItem xmlns:ds="http://schemas.openxmlformats.org/officeDocument/2006/customXml" ds:itemID="{2106c150-97a8-426b-a8fd-050af9185a68}">
  <ds:schemaRefs/>
</ds:datastoreItem>
</file>

<file path=docProps/app.xml><?xml version="1.0" encoding="utf-8"?>
<Properties xmlns="http://schemas.openxmlformats.org/officeDocument/2006/extended-properties" xmlns:vt="http://schemas.openxmlformats.org/officeDocument/2006/docPropsVTypes">
  <Pages>16</Pages>
  <Words>4448</Words>
  <Characters>5193</Characters>
  <TotalTime>59</TotalTime>
  <ScaleCrop>false</ScaleCrop>
  <LinksUpToDate>false</LinksUpToDate>
  <CharactersWithSpaces>5205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2024-08-26T08:01:33Z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2052-12.1.0.17827</vt:lpwstr>
  </property>
  <property fmtid="{D5CDD505-2E9C-101B-9397-08002B2CF9AE}" pid="5" name="ICV">
    <vt:lpwstr>BF76CD38DD77498BB7F6815533CCD939_13</vt:lpwstr>
  </property>
</Properties>
</file>