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CFC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E321DC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6EAB04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D05727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3AC6BF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642452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238C7D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76D155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2895FB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中共鹿邑县委政法委员会</w:t>
      </w:r>
    </w:p>
    <w:p w14:paraId="5963F3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2EFC57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A2272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14983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3E618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EC5D2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BDFDB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91A8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87FB5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3E73B1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68F6D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35D504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中共鹿邑县委政法委员会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0D68F7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6595C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510B95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中共鹿邑县委政法委员会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415048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3E71E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中共鹿邑县委政法委员会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15EFED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2E17E6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2B33FE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04231F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28AE79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30CB12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21A4BD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55DBE4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7643AC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2D4D3F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45D7A8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15E93F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087648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0BD23D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568FDA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40A078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724E79C6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1E327E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中共鹿邑县委政法委员会概况</w:t>
      </w:r>
    </w:p>
    <w:p w14:paraId="02734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5CBCF9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65922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中共鹿邑县委政法委员会是主管全县政法工作的主管部门，机构规格为科级，内设科室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个，具体为：办公室、政治部、研究室、执法督查股、维稳指导股、综治指导股、社会治理股、反邪教协调股、法防线办。所属事业单位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2个：县平安建设促进中心、法学会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19C71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部门职责</w:t>
      </w:r>
    </w:p>
    <w:p w14:paraId="6AAEB3D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1.贯彻落实习近平新时代中国特色社会主义思想，贯彻落实党的路线方针政策和决策部署，统一全县政法各部门思想和行动，坚持党对政法工作的绝对领导，坚决维护党中央权威和集中统一领导。</w:t>
      </w:r>
    </w:p>
    <w:p w14:paraId="62CA96B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贯彻落实党中央、省委、市委及县委决定，对全县政法工作研究提出部署，推进平安鹿邑、法治鹿邑建设，协助县委及组织部门管理政法单位领导干部，协助县委及县纪委监委查处政法干警违纪违法问题，加强过硬政法队伍建设，坚决维护国家政治安全，确保全县社会大局稳定、促进社会公平正义、保障人民安居乐业。</w:t>
      </w:r>
    </w:p>
    <w:p w14:paraId="1BF8CA1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了解掌握和分析研判全县政法工作情况动态、分析社会稳定形势，创新完善多部门参与的综治维稳工作机制，研究加强社会治安综合治理、创新社会治理体系和提高社会治理能力有关重大问题，协调推动预防、化解影响全县稳定的社会矛盾和风险，协调应对和处置重大突发事件。</w:t>
      </w:r>
    </w:p>
    <w:p w14:paraId="459A609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加强对全县政法工作的督查，健全完善政治督察、综治督导、执法监督、纪律作风督查巡查制度，运用约谈、通报、挂牌督办等责任追究机制，统筹协调社会治安综合治理、平安鹿邑建设、法治鹿邑建设、维护社会稳定、反邪教有关法律法规政策的实施工作。</w:t>
      </w:r>
    </w:p>
    <w:p w14:paraId="4C4407E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5.组织开展全县政法系统的调查研究和理论研究，研究拟订全县政法工作的政策措施，及时向县委提出建议。</w:t>
      </w:r>
    </w:p>
    <w:p w14:paraId="4305A3F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6.掌握分析全县政法舆情动态，指导协调政法部门媒体网络宣传工作，指导政法部门做好涉及政法工作的重大宣传工作。</w:t>
      </w:r>
    </w:p>
    <w:p w14:paraId="7E768AD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7.监督和支持政法各部门依法行使职权，指导和协调政法各部门密切配合，研究和协调重大、疑难案件，督促和推动大案要案的查处工作，推进严格执法、公正司法。</w:t>
      </w:r>
    </w:p>
    <w:p w14:paraId="1ADE117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8.组织研究全县政法改革中带有方向性、倾向性和普遍性的重大问题，深化全县政法改革。</w:t>
      </w:r>
    </w:p>
    <w:p w14:paraId="44590C2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9.指导推动全县政法系统党的建设和政法队伍建设，代管县法学会。</w:t>
      </w:r>
    </w:p>
    <w:p w14:paraId="1803EA9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10.完成县委交办的其他任务。    </w:t>
      </w:r>
    </w:p>
    <w:p w14:paraId="39ED6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72F376C6">
      <w:pPr>
        <w:widowControl w:val="0"/>
        <w:kinsoku/>
        <w:wordWrap w:val="0"/>
        <w:autoSpaceDE/>
        <w:autoSpaceDN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本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预算为包括本级预算和所属单位预算在内的汇总预算，预算单位构成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具体是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：</w:t>
      </w:r>
    </w:p>
    <w:p w14:paraId="664CE165">
      <w:pPr>
        <w:widowControl w:val="0"/>
        <w:numPr>
          <w:ilvl w:val="0"/>
          <w:numId w:val="2"/>
        </w:numPr>
        <w:kinsoku/>
        <w:wordWrap w:val="0"/>
        <w:autoSpaceDE/>
        <w:autoSpaceDN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中共鹿邑县委政法委员会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（本级）</w:t>
      </w:r>
    </w:p>
    <w:p w14:paraId="2239B468">
      <w:pPr>
        <w:widowControl w:val="0"/>
        <w:numPr>
          <w:ilvl w:val="0"/>
          <w:numId w:val="2"/>
        </w:numPr>
        <w:kinsoku/>
        <w:wordWrap w:val="0"/>
        <w:autoSpaceDE/>
        <w:autoSpaceDN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鹿邑县平安建设促进中心</w:t>
      </w:r>
    </w:p>
    <w:p w14:paraId="081AE25D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485AB8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中共鹿邑县委政法委员会2024年部门预算情况说明</w:t>
      </w:r>
    </w:p>
    <w:p w14:paraId="47930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493C4C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中共鹿邑县委政法委员会2024年收入总计1253.34万元，支出总计1253.34万元，与2023年预算相比，收、支总计增加131.69万元，增长11.74%，主要原因是：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。。</w:t>
      </w:r>
    </w:p>
    <w:p w14:paraId="270F18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3A264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194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A10CC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</w:p>
    <w:p w14:paraId="358C1D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240A0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2A6D26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中共鹿邑县委政法委员会2024年收入合计1253.34万元，其中：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1028.39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224.95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D4D19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26000" cy="3181350"/>
            <wp:effectExtent l="5080" t="4445" r="7620" b="1460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9B3A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369AC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7D973D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中共鹿邑县委政法委员会2024年支出合计1253.34万元，其中：基本支出410.88万元，占32.78%；项目支出842.46万元，占67.22%。</w:t>
      </w:r>
    </w:p>
    <w:p w14:paraId="48EE60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06A443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61560" cy="3430270"/>
            <wp:effectExtent l="4445" t="4445" r="10795" b="698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3F1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3D73D5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中共鹿邑县委政法委员会2024年一般公共预算收支预算1253.34万元，政府性基金收支预算0.00万元，国有资本经营预算0.00万元。与2023年相比，一般公共预算收支预算增加131.69万元，增长11.74%，主要原因是：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2CAE2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CA298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244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F72D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F789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45E5F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中共鹿邑县委政法委员会2024年一般公共预算支出年初预算为1028.39万元。其中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基本支出410.88万元，占39.95%；项目支出617.51万元，占60.05%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346DF3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1、一般公共服务支出922.14万元，占89.67%。其中：党委办公厅（室）及相关机构事务（款）行政运行（项）支出780.40万元；党委办公厅（室）及相关机构事务（款）事业运行（项）支出141.74万元。 </w:t>
      </w:r>
    </w:p>
    <w:p w14:paraId="358EE2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2、社会保障和就业支出62.38 万元，占6.07%。其中：行政事业单位养老支出（款）机关事业单位基本养老保险缴费支出（项）支出38.22万元；其他社会保障和就业支出（款）其他社会保障和就业支出（项）支出24.16万元。</w:t>
      </w:r>
    </w:p>
    <w:p w14:paraId="745F11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3、卫生健康支出18.99 万元，占1.85%。其中：行政事业单位医疗（款）行政单位医疗（项）支出6.55万元；行政事业单位医疗（款）事业单位医疗（项）支出9.22万元；行政事业单位医疗（款）其他行政事业单位医疗支出（项）支出3.22万元。</w:t>
      </w:r>
    </w:p>
    <w:p w14:paraId="03AADA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4、住房保障支出24.88万元，占2.42%。其中：住房改革支出（款）住房公积金（项）支出24.88万元。</w:t>
      </w:r>
    </w:p>
    <w:p w14:paraId="2AAA52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B6FDF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876800" cy="33235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2A29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7A771A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中共鹿邑县委政法委员会2024年一般公共预算基本支出年初预算为410.88万元，其中：人员经费支出386.27万元，占94.01%；公用经费支出24.62万元，占5.99%。</w:t>
      </w:r>
    </w:p>
    <w:p w14:paraId="6C2131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8C97E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951095" cy="3231515"/>
            <wp:effectExtent l="4445" t="4445" r="10160" b="1524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7BEB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065DE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6A53D0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2024年一般公共预算基本支出年初预算为410.88万元，其中：人员经费支出386.27万元，占94.01%；主要包括：基本工资191.79万元、津贴补贴50.17万元、奖金17.13万元、绩效工资19.04万元、机关事业单位基本养老保险缴费38.22万元、医疗保险缴费15.77万元、其他社会保障缴费27.38万元、住房公积金24.89万元、退休费1.88万元。公用经费支出24.62万元，占5.99%。主要包括：办公费7.66万元、公务接待费1.00万元、公务用车运行维护费5.00万元、其他交通费用10.96万元。</w:t>
      </w:r>
    </w:p>
    <w:p w14:paraId="5CF6B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20D917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中共鹿邑县委政法委员会2024年机构运行经费支出预算24.62万元，主要保障机关机构正常运转及正常履职需要的办公费、水电费、物业费、维修费、差旅费等支出，与2023年相比减少0.42万元，下降1.68%，主要原因：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******************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0F404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24A4AC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中共鹿邑县委政法委员会2024年预算支出1253.34万元，其中：301工资福利支出445.02万元，主要包括：基本工资202.22万元、津贴补贴50.17万元、奖金17.13万元、绩效工资19.04万元、基本养老保险缴费51.03万元、医疗保险缴费24.50万元、其他社会保障缴费33.73万元、住房公积金28.44万元、其他工资福利性支出18.76万元；302商品和服务支出669.25万元，主要包括：办公费629.79万元、公务接待费1.00万元、公务用车运行维护费5.12万元、其他交通费用10.96万元、其他商品和服务费用22.38万元；303对个人和家庭的补助支出139.08万元，主要包括：退休费1.88万元、其他对个人和家庭的补助137.20等。</w:t>
      </w:r>
    </w:p>
    <w:p w14:paraId="6C93A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32D3F0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中共鹿邑县委政法委员会2024年“三公”经费预算为6.00万元。2024年“三公”经费支出预算数较2023年减少1.00万元，下降14.29%，主要原因是：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************。</w:t>
      </w:r>
    </w:p>
    <w:p w14:paraId="7095E7D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785BAF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9EA42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(二)公务用车购置及运行费5.00万元，其中，公务用车购置费0.00万元，主要用于单位公务用车购置支出（含车辆购置税、牌照费），较2023年持平，主要原因是：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；公务用车运行维护费5.00万元，主要用于开展工作所需公务用车的燃料费、维修费、过路过桥费、保险费、安全奖励费用等支出，较2023年持平，主要原因是：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24296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(三)公务接待费1.00万元，主要用于按规定开支的各类公务接待(含外宾接待)支出。预算数较2023减少1.00万元，下降50.00%，主要原因是：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*********************************.</w:t>
      </w:r>
    </w:p>
    <w:p w14:paraId="266069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8E8B0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45990" cy="28194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EDC5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72EE7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2CCFEC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中共鹿邑县委政法委员会2024年无政府性基金预算拨款安排的支出。</w:t>
      </w:r>
    </w:p>
    <w:p w14:paraId="44B47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40108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中共鹿邑县委政法委员会2024年无国有资本经营预算拨款安排的支出。</w:t>
      </w:r>
    </w:p>
    <w:p w14:paraId="358B8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538B06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中共鹿邑县委政法委员会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政府采购预算安排0.00万元，其中：政府采购货物预算0.00万元、政府采购工程预算0.00万元、政府采购服务预算0.00万元。</w:t>
      </w:r>
    </w:p>
    <w:p w14:paraId="5507C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2AF738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中共鹿邑县委政法委员会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1253.34万元，其中：人员经费支出386.27万元，公用经费支出24.62万元，项目支出总额842.46万元。支出项目共54个，其中：预算支出100万元及100万元以上的重点项目2个，支出总额260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62A19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65FF1D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6194A050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中共鹿邑县委政法委员会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固定资产总额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万元，车辆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万元，办公设备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万元。车辆共有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辆，执法执勤车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</w:t>
      </w:r>
      <w:r>
        <w:rPr>
          <w:rFonts w:hint="eastAsia" w:ascii="仿宋" w:hAnsi="仿宋" w:eastAsia="仿宋" w:cs="仿宋"/>
          <w:sz w:val="32"/>
          <w:szCs w:val="32"/>
        </w:rPr>
        <w:t>其他用车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单价50万元以上通用设备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台（套）。</w:t>
      </w:r>
    </w:p>
    <w:p w14:paraId="28009B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7F9382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581F27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09EF768E"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中共鹿邑县委政法委员会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没有债务收入支出项目安排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 w14:paraId="33F14C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121BF6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1DC930B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435CF5D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5979C0B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2203DE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394E62B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2739D11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6B61541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439EB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6B3DBF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064ABD2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29DE85C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0E6F827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069F9BF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4DDA9F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附件：中共鹿邑县委政法委员会2024年度部门预算表</w:t>
      </w:r>
    </w:p>
    <w:p w14:paraId="0274ED07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488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FB86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1uVLQAAAABQEAAA8AAAAAAAAAAQAgAAAAIgAAAGRycy9kb3ducmV2Lnht&#10;bFBLAQIUABQAAAAIAIdO4kARQVEaAQIAAAk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6FB86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856A0"/>
    <w:multiLevelType w:val="singleLevel"/>
    <w:tmpl w:val="BE7856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2F474561"/>
    <w:rsid w:val="31ED00CF"/>
    <w:rsid w:val="3F106BCF"/>
    <w:rsid w:val="47615E0E"/>
    <w:rsid w:val="56752A5C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72961373391"/>
          <c:y val="0.171621621621622"/>
          <c:w val="0.867811158798283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1253.34</c:v>
                </c:pt>
                <c:pt idx="1" c:formatCode="#.00&quot;万&quot;&quot;元&quot;">
                  <c:v>1121.652814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44784062375618"/>
                  <c:y val="0.032670657654263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9006600604281"/>
                  <c:y val="-0.11791062549228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'[鹿邑预算公开图表模板(1).xlsx]Sheet1'!$D$21:$G$21</c:f>
              <c:numCache>
                <c:formatCode>#.00"万""元"</c:formatCode>
                <c:ptCount val="4"/>
                <c:pt idx="0">
                  <c:v>224.95</c:v>
                </c:pt>
                <c:pt idx="1">
                  <c:v>1028.39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0096295315935"/>
                  <c:y val="0.053313587560162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96917724067039"/>
                  <c:y val="-0.097741577193632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410.88</c:v>
                </c:pt>
                <c:pt idx="1">
                  <c:v>842.46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1253.34</c:v>
                </c:pt>
                <c:pt idx="1">
                  <c:v>1121.652814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5703125"/>
          <c:y val="0.007854792564560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27166767099995"/>
                  <c:y val="-0.05273213603362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10620110461070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450333722139537"/>
                  <c:y val="-0.049868229540513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16657557919992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68992803519444"/>
                  <c:y val="-0.11464718883326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8951699561404"/>
                      <c:h val="0.16642468430310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66961849095057"/>
                  <c:y val="0.14238011690883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6735416666667"/>
                      <c:h val="0.16585150891143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307878124641088"/>
                  <c:y val="-0.16336225666407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5208333333"/>
                      <c:h val="0.200611387084448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309375"/>
                  <c:y val="0.029805120366832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[鹿邑预算公开图表模板.xlsx]Sheet1!$D$120:$D$125</c:f>
              <c:strCache>
                <c:ptCount val="6"/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  <c:pt idx="4" c:formatCode="#.00&quot;万&quot;&quot;元&quot;">
                  <c:v>一般公共服务支出</c:v>
                </c:pt>
              </c:strCache>
            </c:strRef>
          </c:cat>
          <c:val>
            <c:numRef>
              <c:f>[鹿邑预算公开图表模板.xlsx]Sheet1!$E$120:$E$125</c:f>
              <c:numCache>
                <c:formatCode>General</c:formatCode>
                <c:ptCount val="6"/>
                <c:pt idx="1" c:formatCode="#.00&quot;万&quot;&quot;元&quot;">
                  <c:v>62.38</c:v>
                </c:pt>
                <c:pt idx="2" c:formatCode="#.00&quot;万&quot;&quot;元&quot;">
                  <c:v>18.99</c:v>
                </c:pt>
                <c:pt idx="3" c:formatCode="#.00&quot;万&quot;&quot;元&quot;">
                  <c:v>24.88</c:v>
                </c:pt>
                <c:pt idx="4" c:formatCode="#.00&quot;万&quot;&quot;元&quot;">
                  <c:v>922.14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636718750000003"/>
          <c:y val="0.91478792510508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95000888102337"/>
                  <c:y val="-9.01203628391724e-1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348998150324641"/>
                  <c:y val="-0.014414742369745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[鹿邑预算公开图表模板.xlsx]Sheet1!$D$145:$D$146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[鹿邑预算公开图表模板.xlsx]Sheet1!$E$145:$E$146</c:f>
              <c:numCache>
                <c:formatCode>#.00"万""元"</c:formatCode>
                <c:ptCount val="2"/>
                <c:pt idx="0">
                  <c:v>386.27</c:v>
                </c:pt>
                <c:pt idx="1">
                  <c:v>24.62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>
        <c:manualLayout>
          <c:xMode val="edge"/>
          <c:yMode val="edge"/>
          <c:x val="0.245651592186246"/>
          <c:y val="0.02702702702702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96895905806797"/>
          <c:y val="0.168918918918919"/>
          <c:w val="0.892480599411292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[鹿邑预算公开图表模板.xlsx]Sheet1!$D$191:$E$191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[鹿邑预算公开图表模板.xlsx]Sheet1!$D$192:$E$192</c:f>
              <c:numCache>
                <c:formatCode>0.00_ </c:formatCode>
                <c:ptCount val="2"/>
                <c:pt idx="0">
                  <c:v>6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49788-e4b8-451f-99b0-581a4ea2dff3}">
  <ds:schemaRefs/>
</ds:datastoreItem>
</file>

<file path=customXml/itemProps3.xml><?xml version="1.0" encoding="utf-8"?>
<ds:datastoreItem xmlns:ds="http://schemas.openxmlformats.org/officeDocument/2006/customXml" ds:itemID="{8f7ab2e6-38c6-424e-b5e4-3645823ce5f0}">
  <ds:schemaRefs/>
</ds:datastoreItem>
</file>

<file path=customXml/itemProps4.xml><?xml version="1.0" encoding="utf-8"?>
<ds:datastoreItem xmlns:ds="http://schemas.openxmlformats.org/officeDocument/2006/customXml" ds:itemID="{3718126e-d44f-43ec-a33a-4e07584f07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4653</Words>
  <Characters>5352</Characters>
  <TotalTime>6</TotalTime>
  <ScaleCrop>false</ScaleCrop>
  <LinksUpToDate>false</LinksUpToDate>
  <CharactersWithSpaces>5367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2024-08-18T07:32:52Z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