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477C7">
      <w:pPr>
        <w:spacing w:before="272" w:line="578" w:lineRule="exact"/>
        <w:jc w:val="center"/>
        <w:rPr>
          <w:rFonts w:hint="eastAsia" w:ascii="宋体" w:hAnsi="宋体" w:eastAsia="宋体" w:cs="宋体"/>
          <w:b/>
          <w:bCs/>
          <w:spacing w:val="16"/>
          <w:sz w:val="43"/>
          <w:szCs w:val="43"/>
          <w14:textOutline w14:w="7975" w14:cap="sq" w14:cmpd="sng" w14:algn="ctr">
            <w14:solidFill>
              <w14:srgbClr w14:val="000000"/>
            </w14:solidFill>
            <w14:prstDash w14:val="solid"/>
            <w14:bevel/>
          </w14:textOutline>
        </w:rPr>
      </w:pPr>
    </w:p>
    <w:p w14:paraId="31EF6E7E">
      <w:pPr>
        <w:spacing w:before="272" w:line="578" w:lineRule="exact"/>
        <w:jc w:val="center"/>
        <w:rPr>
          <w:rFonts w:hint="eastAsia" w:ascii="宋体" w:hAnsi="宋体" w:eastAsia="宋体" w:cs="宋体"/>
          <w:b/>
          <w:bCs/>
          <w:spacing w:val="16"/>
          <w:sz w:val="43"/>
          <w:szCs w:val="43"/>
          <w14:textOutline w14:w="7975" w14:cap="sq" w14:cmpd="sng" w14:algn="ctr">
            <w14:solidFill>
              <w14:srgbClr w14:val="000000"/>
            </w14:solidFill>
            <w14:prstDash w14:val="solid"/>
            <w14:bevel/>
          </w14:textOutline>
        </w:rPr>
      </w:pPr>
    </w:p>
    <w:p w14:paraId="5801F00E">
      <w:pPr>
        <w:spacing w:before="272" w:line="578" w:lineRule="exact"/>
        <w:jc w:val="center"/>
        <w:rPr>
          <w:rFonts w:hint="eastAsia" w:ascii="宋体" w:hAnsi="宋体" w:eastAsia="宋体" w:cs="宋体"/>
          <w:b/>
          <w:bCs/>
          <w:spacing w:val="16"/>
          <w:sz w:val="43"/>
          <w:szCs w:val="43"/>
          <w14:textOutline w14:w="7975" w14:cap="sq" w14:cmpd="sng" w14:algn="ctr">
            <w14:solidFill>
              <w14:srgbClr w14:val="000000"/>
            </w14:solidFill>
            <w14:prstDash w14:val="solid"/>
            <w14:bevel/>
          </w14:textOutline>
        </w:rPr>
      </w:pPr>
    </w:p>
    <w:p w14:paraId="66AE323A">
      <w:pPr>
        <w:spacing w:before="272" w:line="578" w:lineRule="exact"/>
        <w:jc w:val="center"/>
        <w:rPr>
          <w:rFonts w:hint="eastAsia" w:ascii="宋体" w:hAnsi="宋体" w:eastAsia="宋体" w:cs="宋体"/>
          <w:b/>
          <w:bCs/>
          <w:spacing w:val="16"/>
          <w:sz w:val="43"/>
          <w:szCs w:val="43"/>
          <w14:textOutline w14:w="7975" w14:cap="sq" w14:cmpd="sng" w14:algn="ctr">
            <w14:solidFill>
              <w14:srgbClr w14:val="000000"/>
            </w14:solidFill>
            <w14:prstDash w14:val="solid"/>
            <w14:bevel/>
          </w14:textOutline>
        </w:rPr>
      </w:pPr>
    </w:p>
    <w:p w14:paraId="7AB30E0C">
      <w:pPr>
        <w:spacing w:before="272" w:line="578" w:lineRule="exact"/>
        <w:jc w:val="center"/>
        <w:rPr>
          <w:rFonts w:ascii="宋体" w:hAnsi="宋体" w:eastAsia="宋体" w:cs="宋体"/>
          <w:b/>
          <w:bCs/>
          <w:spacing w:val="16"/>
          <w:sz w:val="43"/>
          <w:szCs w:val="43"/>
          <w14:textOutline w14:w="7975" w14:cap="sq" w14:cmpd="sng" w14:algn="ctr">
            <w14:solidFill>
              <w14:srgbClr w14:val="000000"/>
            </w14:solidFill>
            <w14:prstDash w14:val="solid"/>
            <w14:bevel/>
          </w14:textOutline>
        </w:rPr>
      </w:pPr>
      <w:r>
        <w:rPr>
          <w:rFonts w:hint="eastAsia" w:ascii="宋体" w:hAnsi="宋体" w:eastAsia="宋体" w:cs="宋体"/>
          <w:b/>
          <w:bCs/>
          <w:spacing w:val="16"/>
          <w:sz w:val="43"/>
          <w:szCs w:val="43"/>
          <w14:textOutline w14:w="7975" w14:cap="sq" w14:cmpd="sng" w14:algn="ctr">
            <w14:solidFill>
              <w14:srgbClr w14:val="000000"/>
            </w14:solidFill>
            <w14:prstDash w14:val="solid"/>
            <w14:bevel/>
          </w14:textOutline>
        </w:rPr>
        <w:t>鹿邑县文化广电和旅游局（汇总）</w:t>
      </w:r>
    </w:p>
    <w:p w14:paraId="50AE5EF5">
      <w:pPr>
        <w:spacing w:before="272" w:line="578" w:lineRule="exact"/>
        <w:jc w:val="center"/>
        <w:rPr>
          <w:rFonts w:ascii="宋体" w:hAnsi="宋体" w:eastAsia="宋体" w:cs="宋体"/>
          <w:b/>
          <w:bCs/>
          <w:spacing w:val="16"/>
          <w:sz w:val="43"/>
          <w:szCs w:val="43"/>
          <w14:textOutline w14:w="7975" w14:cap="sq" w14:cmpd="sng" w14:algn="ctr">
            <w14:solidFill>
              <w14:srgbClr w14:val="000000"/>
            </w14:solidFill>
            <w14:prstDash w14:val="solid"/>
            <w14:bevel/>
          </w14:textOutline>
        </w:rPr>
      </w:pPr>
      <w:r>
        <w:rPr>
          <w:rFonts w:hint="eastAsia" w:ascii="宋体" w:hAnsi="宋体" w:eastAsia="宋体" w:cs="宋体"/>
          <w:b/>
          <w:bCs/>
          <w:spacing w:val="16"/>
          <w:sz w:val="43"/>
          <w:szCs w:val="43"/>
          <w14:textOutline w14:w="7975" w14:cap="sq" w14:cmpd="sng" w14:algn="ctr">
            <w14:solidFill>
              <w14:srgbClr w14:val="000000"/>
            </w14:solidFill>
            <w14:prstDash w14:val="solid"/>
            <w14:bevel/>
          </w14:textOutline>
        </w:rPr>
        <w:t>2024年度部门预算</w:t>
      </w:r>
    </w:p>
    <w:p w14:paraId="5976FA72">
      <w:pPr>
        <w:spacing w:before="272" w:line="578" w:lineRule="exact"/>
        <w:jc w:val="center"/>
        <w:rPr>
          <w:rFonts w:ascii="宋体" w:hAnsi="宋体" w:eastAsia="宋体" w:cs="宋体"/>
          <w:b/>
          <w:bCs/>
          <w:spacing w:val="10"/>
          <w:sz w:val="43"/>
          <w:szCs w:val="43"/>
          <w14:textOutline w14:w="7975" w14:cap="sq" w14:cmpd="sng" w14:algn="ctr">
            <w14:solidFill>
              <w14:srgbClr w14:val="000000"/>
            </w14:solidFill>
            <w14:prstDash w14:val="solid"/>
            <w14:bevel/>
          </w14:textOutline>
        </w:rPr>
      </w:pPr>
    </w:p>
    <w:p w14:paraId="5D6C4A23">
      <w:pPr>
        <w:spacing w:before="272" w:line="578" w:lineRule="exact"/>
        <w:jc w:val="center"/>
        <w:rPr>
          <w:rFonts w:ascii="宋体" w:hAnsi="宋体" w:eastAsia="宋体" w:cs="宋体"/>
          <w:b/>
          <w:bCs/>
          <w:spacing w:val="10"/>
          <w:sz w:val="43"/>
          <w:szCs w:val="43"/>
          <w14:textOutline w14:w="7975" w14:cap="sq" w14:cmpd="sng" w14:algn="ctr">
            <w14:solidFill>
              <w14:srgbClr w14:val="000000"/>
            </w14:solidFill>
            <w14:prstDash w14:val="solid"/>
            <w14:bevel/>
          </w14:textOutline>
        </w:rPr>
      </w:pPr>
    </w:p>
    <w:p w14:paraId="46FC5227">
      <w:pPr>
        <w:spacing w:before="272" w:line="578" w:lineRule="exact"/>
        <w:jc w:val="center"/>
        <w:rPr>
          <w:rFonts w:ascii="宋体" w:hAnsi="宋体" w:eastAsia="宋体" w:cs="宋体"/>
          <w:b/>
          <w:bCs/>
          <w:spacing w:val="10"/>
          <w:sz w:val="43"/>
          <w:szCs w:val="43"/>
          <w14:textOutline w14:w="7975" w14:cap="sq" w14:cmpd="sng" w14:algn="ctr">
            <w14:solidFill>
              <w14:srgbClr w14:val="000000"/>
            </w14:solidFill>
            <w14:prstDash w14:val="solid"/>
            <w14:bevel/>
          </w14:textOutline>
        </w:rPr>
      </w:pPr>
    </w:p>
    <w:p w14:paraId="3F49F37D">
      <w:pPr>
        <w:spacing w:before="272" w:line="578" w:lineRule="exact"/>
        <w:jc w:val="center"/>
        <w:rPr>
          <w:rFonts w:ascii="宋体" w:hAnsi="宋体" w:eastAsia="宋体" w:cs="宋体"/>
          <w:b/>
          <w:bCs/>
          <w:spacing w:val="10"/>
          <w:sz w:val="43"/>
          <w:szCs w:val="43"/>
          <w14:textOutline w14:w="7975" w14:cap="sq" w14:cmpd="sng" w14:algn="ctr">
            <w14:solidFill>
              <w14:srgbClr w14:val="000000"/>
            </w14:solidFill>
            <w14:prstDash w14:val="solid"/>
            <w14:bevel/>
          </w14:textOutline>
        </w:rPr>
      </w:pPr>
    </w:p>
    <w:p w14:paraId="6F287983">
      <w:pPr>
        <w:spacing w:before="272" w:line="578" w:lineRule="exact"/>
        <w:jc w:val="center"/>
        <w:rPr>
          <w:rFonts w:ascii="宋体" w:hAnsi="宋体" w:eastAsia="宋体" w:cs="宋体"/>
          <w:b/>
          <w:bCs/>
          <w:spacing w:val="10"/>
          <w:sz w:val="43"/>
          <w:szCs w:val="43"/>
          <w14:textOutline w14:w="7975" w14:cap="sq" w14:cmpd="sng" w14:algn="ctr">
            <w14:solidFill>
              <w14:srgbClr w14:val="000000"/>
            </w14:solidFill>
            <w14:prstDash w14:val="solid"/>
            <w14:bevel/>
          </w14:textOutline>
        </w:rPr>
      </w:pPr>
    </w:p>
    <w:p w14:paraId="007237F8">
      <w:pPr>
        <w:spacing w:before="272" w:line="578" w:lineRule="exact"/>
        <w:jc w:val="center"/>
        <w:rPr>
          <w:rFonts w:ascii="宋体" w:hAnsi="宋体" w:eastAsia="宋体" w:cs="宋体"/>
          <w:b/>
          <w:bCs/>
          <w:spacing w:val="10"/>
          <w:sz w:val="43"/>
          <w:szCs w:val="43"/>
          <w14:textOutline w14:w="7975" w14:cap="sq" w14:cmpd="sng" w14:algn="ctr">
            <w14:solidFill>
              <w14:srgbClr w14:val="000000"/>
            </w14:solidFill>
            <w14:prstDash w14:val="solid"/>
            <w14:bevel/>
          </w14:textOutline>
        </w:rPr>
      </w:pPr>
    </w:p>
    <w:p w14:paraId="13A7F5D1">
      <w:pPr>
        <w:spacing w:before="272" w:line="578" w:lineRule="exact"/>
        <w:jc w:val="both"/>
        <w:rPr>
          <w:rFonts w:ascii="宋体" w:hAnsi="宋体" w:eastAsia="宋体" w:cs="宋体"/>
          <w:b/>
          <w:bCs/>
          <w:spacing w:val="10"/>
          <w:sz w:val="43"/>
          <w:szCs w:val="43"/>
          <w14:textOutline w14:w="7975" w14:cap="sq" w14:cmpd="sng" w14:algn="ctr">
            <w14:solidFill>
              <w14:srgbClr w14:val="000000"/>
            </w14:solidFill>
            <w14:prstDash w14:val="solid"/>
            <w14:bevel/>
          </w14:textOutline>
        </w:rPr>
      </w:pPr>
    </w:p>
    <w:p w14:paraId="5D569FBE">
      <w:pPr>
        <w:spacing w:before="272" w:line="578" w:lineRule="exact"/>
        <w:jc w:val="center"/>
        <w:rPr>
          <w:rFonts w:ascii="宋体" w:hAnsi="宋体" w:eastAsia="宋体" w:cs="宋体"/>
          <w:b/>
          <w:bCs/>
          <w:spacing w:val="10"/>
          <w:sz w:val="43"/>
          <w:szCs w:val="43"/>
          <w14:textOutline w14:w="7975" w14:cap="sq" w14:cmpd="sng" w14:algn="ctr">
            <w14:solidFill>
              <w14:srgbClr w14:val="000000"/>
            </w14:solidFill>
            <w14:prstDash w14:val="solid"/>
            <w14:bevel/>
          </w14:textOutline>
        </w:rPr>
      </w:pPr>
      <w:r>
        <w:rPr>
          <w:rFonts w:hint="eastAsia" w:ascii="宋体" w:hAnsi="宋体" w:eastAsia="宋体" w:cs="宋体"/>
          <w:b/>
          <w:bCs/>
          <w:spacing w:val="10"/>
          <w:sz w:val="43"/>
          <w:szCs w:val="43"/>
          <w14:textOutline w14:w="7975" w14:cap="sq" w14:cmpd="sng" w14:algn="ctr">
            <w14:solidFill>
              <w14:srgbClr w14:val="000000"/>
            </w14:solidFill>
            <w14:prstDash w14:val="solid"/>
            <w14:bevel/>
          </w14:textOutline>
        </w:rPr>
        <w:t>二○二四年</w:t>
      </w:r>
      <w:r>
        <w:rPr>
          <w:rFonts w:hint="eastAsia" w:ascii="宋体" w:hAnsi="宋体" w:eastAsia="宋体" w:cs="宋体"/>
          <w:b/>
          <w:bCs/>
          <w:spacing w:val="10"/>
          <w:sz w:val="43"/>
          <w:szCs w:val="43"/>
          <w:lang w:val="en-US" w:eastAsia="zh-CN"/>
          <w14:textOutline w14:w="7975" w14:cap="sq" w14:cmpd="sng" w14:algn="ctr">
            <w14:solidFill>
              <w14:srgbClr w14:val="000000"/>
            </w14:solidFill>
            <w14:prstDash w14:val="solid"/>
            <w14:bevel/>
          </w14:textOutline>
        </w:rPr>
        <w:t>三</w:t>
      </w:r>
      <w:r>
        <w:rPr>
          <w:rFonts w:hint="eastAsia" w:ascii="宋体" w:hAnsi="宋体" w:eastAsia="宋体" w:cs="宋体"/>
          <w:b/>
          <w:bCs/>
          <w:spacing w:val="10"/>
          <w:sz w:val="43"/>
          <w:szCs w:val="43"/>
          <w14:textOutline w14:w="7975" w14:cap="sq" w14:cmpd="sng" w14:algn="ctr">
            <w14:solidFill>
              <w14:srgbClr w14:val="000000"/>
            </w14:solidFill>
            <w14:prstDash w14:val="solid"/>
            <w14:bevel/>
          </w14:textOutline>
        </w:rPr>
        <w:t>月</w:t>
      </w:r>
    </w:p>
    <w:p w14:paraId="03449C71">
      <w:pPr>
        <w:spacing w:before="272" w:line="578" w:lineRule="exact"/>
        <w:jc w:val="center"/>
        <w:rPr>
          <w:rFonts w:ascii="宋体" w:hAnsi="宋体" w:eastAsia="宋体" w:cs="宋体"/>
          <w:b/>
          <w:bCs/>
          <w:spacing w:val="-21"/>
          <w:sz w:val="43"/>
          <w:szCs w:val="43"/>
          <w14:textOutline w14:w="7975" w14:cap="sq" w14:cmpd="sng" w14:algn="ctr">
            <w14:solidFill>
              <w14:srgbClr w14:val="000000"/>
            </w14:solidFill>
            <w14:prstDash w14:val="solid"/>
            <w14:bevel/>
          </w14:textOutline>
        </w:rPr>
      </w:pPr>
    </w:p>
    <w:p w14:paraId="284846C5">
      <w:pPr>
        <w:spacing w:before="272" w:line="578" w:lineRule="exact"/>
        <w:jc w:val="center"/>
        <w:rPr>
          <w:rFonts w:ascii="宋体" w:hAnsi="宋体" w:eastAsia="宋体" w:cs="宋体"/>
          <w:b/>
          <w:bCs/>
          <w:spacing w:val="-21"/>
          <w:sz w:val="43"/>
          <w:szCs w:val="43"/>
          <w14:textOutline w14:w="7975" w14:cap="sq" w14:cmpd="sng" w14:algn="ctr">
            <w14:solidFill>
              <w14:srgbClr w14:val="000000"/>
            </w14:solidFill>
            <w14:prstDash w14:val="solid"/>
            <w14:bevel/>
          </w14:textOutline>
        </w:rPr>
      </w:pPr>
    </w:p>
    <w:p w14:paraId="1F835413">
      <w:pPr>
        <w:spacing w:before="272" w:line="578" w:lineRule="exact"/>
        <w:jc w:val="center"/>
        <w:rPr>
          <w:rFonts w:ascii="宋体" w:hAnsi="宋体" w:eastAsia="宋体" w:cs="宋体"/>
          <w:b/>
          <w:bCs/>
          <w:sz w:val="43"/>
          <w:szCs w:val="43"/>
        </w:rPr>
      </w:pPr>
      <w:r>
        <w:rPr>
          <w:rFonts w:hint="eastAsia" w:ascii="宋体" w:hAnsi="宋体" w:eastAsia="宋体" w:cs="宋体"/>
          <w:b/>
          <w:bCs/>
          <w:spacing w:val="-21"/>
          <w:sz w:val="43"/>
          <w:szCs w:val="43"/>
          <w14:textOutline w14:w="7975" w14:cap="sq" w14:cmpd="sng" w14:algn="ctr">
            <w14:solidFill>
              <w14:srgbClr w14:val="000000"/>
            </w14:solidFill>
            <w14:prstDash w14:val="solid"/>
            <w14:bevel/>
          </w14:textOutline>
        </w:rPr>
        <w:t>目</w:t>
      </w:r>
      <w:r>
        <w:rPr>
          <w:rFonts w:hint="eastAsia" w:ascii="宋体" w:hAnsi="宋体" w:eastAsia="宋体" w:cs="宋体"/>
          <w:b/>
          <w:bCs/>
          <w:spacing w:val="-20"/>
          <w:sz w:val="43"/>
          <w:szCs w:val="43"/>
          <w14:textOutline w14:w="7975" w14:cap="sq" w14:cmpd="sng" w14:algn="ctr">
            <w14:solidFill>
              <w14:srgbClr w14:val="000000"/>
            </w14:solidFill>
            <w14:prstDash w14:val="solid"/>
            <w14:bevel/>
          </w14:textOutline>
        </w:rPr>
        <w:t>录</w:t>
      </w:r>
    </w:p>
    <w:p w14:paraId="203BE2A9">
      <w:pPr>
        <w:spacing w:before="9" w:line="578" w:lineRule="atLeast"/>
        <w:rPr>
          <w:rFonts w:ascii="黑体" w:hAnsi="黑体" w:eastAsia="黑体" w:cs="黑体"/>
          <w:sz w:val="31"/>
          <w:szCs w:val="31"/>
        </w:rPr>
      </w:pPr>
      <w:r>
        <w:rPr>
          <w:rFonts w:ascii="黑体" w:hAnsi="黑体" w:eastAsia="黑体" w:cs="黑体"/>
          <w:spacing w:val="11"/>
          <w:sz w:val="31"/>
          <w:szCs w:val="31"/>
        </w:rPr>
        <w:t>第一部分</w:t>
      </w:r>
      <w:r>
        <w:rPr>
          <w:rFonts w:hint="eastAsia" w:ascii="黑体" w:hAnsi="黑体" w:eastAsia="黑体" w:cs="黑体"/>
          <w:spacing w:val="11"/>
          <w:sz w:val="31"/>
          <w:szCs w:val="31"/>
        </w:rPr>
        <w:t xml:space="preserve">  </w:t>
      </w:r>
      <w:r>
        <w:rPr>
          <w:rFonts w:hint="eastAsia" w:ascii="黑体" w:hAnsi="黑体" w:eastAsia="黑体" w:cs="黑体"/>
          <w:sz w:val="31"/>
          <w:szCs w:val="31"/>
        </w:rPr>
        <w:t>鹿邑县文化广电和旅游局</w:t>
      </w:r>
      <w:r>
        <w:rPr>
          <w:rFonts w:ascii="黑体" w:hAnsi="黑体" w:eastAsia="黑体" w:cs="黑体"/>
          <w:spacing w:val="11"/>
          <w:sz w:val="31"/>
          <w:szCs w:val="31"/>
        </w:rPr>
        <w:t>概况</w:t>
      </w:r>
    </w:p>
    <w:p w14:paraId="6B25C238">
      <w:pPr>
        <w:spacing w:before="24" w:line="578" w:lineRule="atLeast"/>
        <w:ind w:left="18"/>
        <w:jc w:val="both"/>
        <w:rPr>
          <w:rFonts w:ascii="仿宋" w:hAnsi="仿宋" w:eastAsia="仿宋" w:cs="仿宋"/>
          <w:sz w:val="31"/>
          <w:szCs w:val="31"/>
        </w:rPr>
      </w:pPr>
      <w:r>
        <w:rPr>
          <w:rFonts w:ascii="仿宋" w:hAnsi="仿宋" w:eastAsia="仿宋" w:cs="仿宋"/>
          <w:color w:val="313131"/>
          <w:spacing w:val="7"/>
          <w:sz w:val="31"/>
          <w:szCs w:val="31"/>
        </w:rPr>
        <w:t>一、主要职</w:t>
      </w:r>
      <w:r>
        <w:rPr>
          <w:rFonts w:ascii="仿宋" w:hAnsi="仿宋" w:eastAsia="仿宋" w:cs="仿宋"/>
          <w:color w:val="313131"/>
          <w:spacing w:val="6"/>
          <w:sz w:val="31"/>
          <w:szCs w:val="31"/>
        </w:rPr>
        <w:t>责</w:t>
      </w:r>
    </w:p>
    <w:p w14:paraId="698CB5DD">
      <w:pPr>
        <w:spacing w:line="578" w:lineRule="atLeast"/>
        <w:ind w:left="22"/>
        <w:rPr>
          <w:rFonts w:ascii="仿宋" w:hAnsi="仿宋" w:eastAsia="仿宋" w:cs="仿宋"/>
          <w:color w:val="313131"/>
          <w:spacing w:val="9"/>
          <w:sz w:val="31"/>
          <w:szCs w:val="31"/>
        </w:rPr>
      </w:pPr>
      <w:r>
        <w:rPr>
          <w:rFonts w:hint="eastAsia" w:ascii="仿宋" w:hAnsi="仿宋" w:eastAsia="仿宋" w:cs="仿宋"/>
          <w:color w:val="313131"/>
          <w:spacing w:val="9"/>
          <w:sz w:val="31"/>
          <w:szCs w:val="31"/>
        </w:rPr>
        <w:t>二、鹿邑县文化广电和旅游局部门</w:t>
      </w:r>
      <w:r>
        <w:rPr>
          <w:rFonts w:ascii="仿宋" w:hAnsi="仿宋" w:eastAsia="仿宋" w:cs="仿宋"/>
          <w:color w:val="313131"/>
          <w:spacing w:val="9"/>
          <w:sz w:val="31"/>
          <w:szCs w:val="31"/>
        </w:rPr>
        <w:t>所属预算单位构成情况</w:t>
      </w:r>
    </w:p>
    <w:p w14:paraId="27CB3806">
      <w:pPr>
        <w:spacing w:before="9" w:line="578" w:lineRule="atLeast"/>
        <w:rPr>
          <w:rFonts w:ascii="黑体" w:hAnsi="黑体" w:eastAsia="黑体" w:cs="黑体"/>
          <w:spacing w:val="11"/>
          <w:sz w:val="31"/>
          <w:szCs w:val="31"/>
        </w:rPr>
      </w:pPr>
      <w:r>
        <w:rPr>
          <w:rFonts w:ascii="黑体" w:hAnsi="黑体" w:eastAsia="黑体" w:cs="黑体"/>
          <w:spacing w:val="11"/>
          <w:sz w:val="31"/>
          <w:szCs w:val="31"/>
        </w:rPr>
        <w:t>第二部分</w:t>
      </w:r>
      <w:r>
        <w:rPr>
          <w:rFonts w:hint="eastAsia" w:ascii="黑体" w:hAnsi="黑体" w:eastAsia="黑体" w:cs="黑体"/>
          <w:spacing w:val="11"/>
          <w:sz w:val="31"/>
          <w:szCs w:val="31"/>
        </w:rPr>
        <w:t xml:space="preserve">  鹿邑县文化广电和旅游局</w:t>
      </w:r>
      <w:r>
        <w:rPr>
          <w:rFonts w:ascii="黑体" w:hAnsi="黑体" w:eastAsia="黑体" w:cs="黑体"/>
          <w:spacing w:val="11"/>
          <w:sz w:val="31"/>
          <w:szCs w:val="31"/>
        </w:rPr>
        <w:t>202</w:t>
      </w:r>
      <w:r>
        <w:rPr>
          <w:rFonts w:hint="eastAsia" w:ascii="黑体" w:hAnsi="黑体" w:eastAsia="黑体" w:cs="黑体"/>
          <w:spacing w:val="11"/>
          <w:sz w:val="31"/>
          <w:szCs w:val="31"/>
        </w:rPr>
        <w:t>4</w:t>
      </w:r>
      <w:r>
        <w:rPr>
          <w:rFonts w:ascii="黑体" w:hAnsi="黑体" w:eastAsia="黑体" w:cs="黑体"/>
          <w:spacing w:val="11"/>
          <w:sz w:val="31"/>
          <w:szCs w:val="31"/>
        </w:rPr>
        <w:t>年部门预算情况说明</w:t>
      </w:r>
    </w:p>
    <w:p w14:paraId="60B6C2F8">
      <w:pPr>
        <w:spacing w:before="9" w:line="578" w:lineRule="atLeast"/>
        <w:rPr>
          <w:rFonts w:ascii="黑体" w:hAnsi="黑体" w:eastAsia="黑体" w:cs="黑体"/>
          <w:spacing w:val="11"/>
          <w:sz w:val="31"/>
          <w:szCs w:val="31"/>
        </w:rPr>
      </w:pPr>
      <w:r>
        <w:rPr>
          <w:rFonts w:ascii="黑体" w:hAnsi="黑体" w:eastAsia="黑体" w:cs="黑体"/>
          <w:spacing w:val="11"/>
          <w:sz w:val="31"/>
          <w:szCs w:val="31"/>
        </w:rPr>
        <w:t>第三部分</w:t>
      </w:r>
      <w:r>
        <w:rPr>
          <w:rFonts w:hint="eastAsia" w:ascii="黑体" w:hAnsi="黑体" w:eastAsia="黑体" w:cs="黑体"/>
          <w:spacing w:val="11"/>
          <w:sz w:val="31"/>
          <w:szCs w:val="31"/>
        </w:rPr>
        <w:t xml:space="preserve">  </w:t>
      </w:r>
      <w:r>
        <w:rPr>
          <w:rFonts w:ascii="黑体" w:hAnsi="黑体" w:eastAsia="黑体" w:cs="黑体"/>
          <w:spacing w:val="11"/>
          <w:sz w:val="31"/>
          <w:szCs w:val="31"/>
        </w:rPr>
        <w:t>名词解释</w:t>
      </w:r>
    </w:p>
    <w:p w14:paraId="6119F2E4">
      <w:pPr>
        <w:spacing w:before="9" w:line="578" w:lineRule="atLeast"/>
        <w:rPr>
          <w:rFonts w:ascii="黑体" w:hAnsi="黑体" w:eastAsia="黑体" w:cs="黑体"/>
          <w:spacing w:val="11"/>
          <w:sz w:val="31"/>
          <w:szCs w:val="31"/>
        </w:rPr>
      </w:pPr>
      <w:r>
        <w:rPr>
          <w:rFonts w:ascii="黑体" w:hAnsi="黑体" w:eastAsia="黑体" w:cs="黑体"/>
          <w:spacing w:val="11"/>
          <w:sz w:val="31"/>
          <w:szCs w:val="31"/>
        </w:rPr>
        <w:t>附件：</w:t>
      </w:r>
      <w:r>
        <w:rPr>
          <w:rFonts w:hint="eastAsia" w:ascii="黑体" w:hAnsi="黑体" w:eastAsia="黑体" w:cs="黑体"/>
          <w:spacing w:val="11"/>
          <w:sz w:val="31"/>
          <w:szCs w:val="31"/>
        </w:rPr>
        <w:t>鹿邑县文化广电和旅游局</w:t>
      </w:r>
      <w:r>
        <w:rPr>
          <w:rFonts w:ascii="黑体" w:hAnsi="黑体" w:eastAsia="黑体" w:cs="黑体"/>
          <w:spacing w:val="11"/>
          <w:sz w:val="31"/>
          <w:szCs w:val="31"/>
        </w:rPr>
        <w:t>202</w:t>
      </w:r>
      <w:r>
        <w:rPr>
          <w:rFonts w:hint="eastAsia" w:ascii="黑体" w:hAnsi="黑体" w:eastAsia="黑体" w:cs="黑体"/>
          <w:spacing w:val="11"/>
          <w:sz w:val="31"/>
          <w:szCs w:val="31"/>
        </w:rPr>
        <w:t>4</w:t>
      </w:r>
      <w:r>
        <w:rPr>
          <w:rFonts w:ascii="黑体" w:hAnsi="黑体" w:eastAsia="黑体" w:cs="黑体"/>
          <w:spacing w:val="11"/>
          <w:sz w:val="31"/>
          <w:szCs w:val="31"/>
        </w:rPr>
        <w:t>年度部门预算表</w:t>
      </w:r>
    </w:p>
    <w:p w14:paraId="4D334EC8">
      <w:pPr>
        <w:spacing w:before="2" w:line="578" w:lineRule="atLeast"/>
        <w:ind w:left="22"/>
        <w:rPr>
          <w:rFonts w:hint="eastAsia" w:ascii="仿宋" w:hAnsi="仿宋" w:eastAsia="仿宋" w:cs="仿宋"/>
          <w:spacing w:val="11"/>
          <w:sz w:val="31"/>
          <w:szCs w:val="31"/>
        </w:rPr>
      </w:pPr>
      <w:r>
        <w:rPr>
          <w:rFonts w:hint="eastAsia" w:ascii="仿宋" w:hAnsi="仿宋" w:eastAsia="仿宋" w:cs="仿宋"/>
          <w:spacing w:val="11"/>
          <w:sz w:val="31"/>
          <w:szCs w:val="31"/>
        </w:rPr>
        <w:t>一、</w:t>
      </w:r>
      <w:r>
        <w:rPr>
          <w:rFonts w:hint="eastAsia" w:ascii="仿宋" w:hAnsi="仿宋" w:eastAsia="仿宋" w:cs="仿宋"/>
          <w:spacing w:val="11"/>
          <w:sz w:val="31"/>
          <w:szCs w:val="31"/>
          <w:lang w:eastAsia="zh-CN"/>
        </w:rPr>
        <w:t>2024年部门</w:t>
      </w:r>
      <w:r>
        <w:rPr>
          <w:rFonts w:hint="eastAsia" w:ascii="仿宋" w:hAnsi="仿宋" w:eastAsia="仿宋" w:cs="仿宋"/>
          <w:spacing w:val="11"/>
          <w:sz w:val="31"/>
          <w:szCs w:val="31"/>
        </w:rPr>
        <w:t>收支总体情况表</w:t>
      </w:r>
    </w:p>
    <w:p w14:paraId="0019D15C">
      <w:pPr>
        <w:spacing w:before="2" w:line="578" w:lineRule="atLeast"/>
        <w:ind w:left="22"/>
        <w:rPr>
          <w:rFonts w:hint="eastAsia" w:ascii="仿宋" w:hAnsi="仿宋" w:eastAsia="仿宋" w:cs="仿宋"/>
          <w:spacing w:val="11"/>
          <w:sz w:val="31"/>
          <w:szCs w:val="31"/>
        </w:rPr>
      </w:pPr>
      <w:r>
        <w:rPr>
          <w:rFonts w:hint="eastAsia" w:ascii="仿宋" w:hAnsi="仿宋" w:eastAsia="仿宋" w:cs="仿宋"/>
          <w:spacing w:val="11"/>
          <w:sz w:val="31"/>
          <w:szCs w:val="31"/>
        </w:rPr>
        <w:t>二、</w:t>
      </w:r>
      <w:r>
        <w:rPr>
          <w:rFonts w:hint="eastAsia" w:ascii="仿宋" w:hAnsi="仿宋" w:eastAsia="仿宋" w:cs="仿宋"/>
          <w:spacing w:val="11"/>
          <w:sz w:val="31"/>
          <w:szCs w:val="31"/>
          <w:lang w:eastAsia="zh-CN"/>
        </w:rPr>
        <w:t>2024年部门</w:t>
      </w:r>
      <w:r>
        <w:rPr>
          <w:rFonts w:hint="eastAsia" w:ascii="仿宋" w:hAnsi="仿宋" w:eastAsia="仿宋" w:cs="仿宋"/>
          <w:spacing w:val="11"/>
          <w:sz w:val="31"/>
          <w:szCs w:val="31"/>
        </w:rPr>
        <w:t>收入总体情况表</w:t>
      </w:r>
    </w:p>
    <w:p w14:paraId="129F202C">
      <w:pPr>
        <w:spacing w:before="2" w:line="578" w:lineRule="atLeast"/>
        <w:ind w:left="22"/>
        <w:rPr>
          <w:rFonts w:hint="eastAsia" w:ascii="仿宋" w:hAnsi="仿宋" w:eastAsia="仿宋" w:cs="仿宋"/>
          <w:spacing w:val="11"/>
          <w:sz w:val="31"/>
          <w:szCs w:val="31"/>
        </w:rPr>
      </w:pPr>
      <w:r>
        <w:rPr>
          <w:rFonts w:hint="eastAsia" w:ascii="仿宋" w:hAnsi="仿宋" w:eastAsia="仿宋" w:cs="仿宋"/>
          <w:spacing w:val="11"/>
          <w:sz w:val="31"/>
          <w:szCs w:val="31"/>
        </w:rPr>
        <w:t>三、</w:t>
      </w:r>
      <w:r>
        <w:rPr>
          <w:rFonts w:hint="eastAsia" w:ascii="仿宋" w:hAnsi="仿宋" w:eastAsia="仿宋" w:cs="仿宋"/>
          <w:spacing w:val="11"/>
          <w:sz w:val="31"/>
          <w:szCs w:val="31"/>
          <w:lang w:eastAsia="zh-CN"/>
        </w:rPr>
        <w:t>2024年部门</w:t>
      </w:r>
      <w:r>
        <w:rPr>
          <w:rFonts w:hint="eastAsia" w:ascii="仿宋" w:hAnsi="仿宋" w:eastAsia="仿宋" w:cs="仿宋"/>
          <w:spacing w:val="11"/>
          <w:sz w:val="31"/>
          <w:szCs w:val="31"/>
        </w:rPr>
        <w:t>支出总体情况表</w:t>
      </w:r>
    </w:p>
    <w:p w14:paraId="0A542E29">
      <w:pPr>
        <w:spacing w:before="2" w:line="578" w:lineRule="atLeast"/>
        <w:ind w:left="22"/>
        <w:rPr>
          <w:rFonts w:hint="eastAsia" w:ascii="仿宋" w:hAnsi="仿宋" w:eastAsia="仿宋" w:cs="仿宋"/>
          <w:spacing w:val="11"/>
          <w:sz w:val="31"/>
          <w:szCs w:val="31"/>
        </w:rPr>
      </w:pPr>
      <w:r>
        <w:rPr>
          <w:rFonts w:hint="eastAsia" w:ascii="仿宋" w:hAnsi="仿宋" w:eastAsia="仿宋" w:cs="仿宋"/>
          <w:spacing w:val="11"/>
          <w:sz w:val="31"/>
          <w:szCs w:val="31"/>
        </w:rPr>
        <w:t>四、2024年财政拨款收支总体情况表</w:t>
      </w:r>
    </w:p>
    <w:p w14:paraId="3AC11F43">
      <w:pPr>
        <w:spacing w:before="2" w:line="578" w:lineRule="atLeast"/>
        <w:ind w:left="22"/>
        <w:rPr>
          <w:rFonts w:hint="eastAsia" w:ascii="仿宋" w:hAnsi="仿宋" w:eastAsia="仿宋" w:cs="仿宋"/>
          <w:spacing w:val="11"/>
          <w:sz w:val="31"/>
          <w:szCs w:val="31"/>
        </w:rPr>
      </w:pPr>
      <w:r>
        <w:rPr>
          <w:rFonts w:hint="eastAsia" w:ascii="仿宋" w:hAnsi="仿宋" w:eastAsia="仿宋" w:cs="仿宋"/>
          <w:spacing w:val="11"/>
          <w:sz w:val="31"/>
          <w:szCs w:val="31"/>
        </w:rPr>
        <w:t>五、2024年一般公共预算支出情况表</w:t>
      </w:r>
    </w:p>
    <w:p w14:paraId="5FB2EECC">
      <w:pPr>
        <w:spacing w:before="2" w:line="578" w:lineRule="atLeast"/>
        <w:ind w:left="22"/>
        <w:rPr>
          <w:rFonts w:hint="eastAsia" w:ascii="仿宋" w:hAnsi="仿宋" w:eastAsia="仿宋" w:cs="仿宋"/>
          <w:spacing w:val="11"/>
          <w:sz w:val="31"/>
          <w:szCs w:val="31"/>
        </w:rPr>
      </w:pPr>
      <w:r>
        <w:rPr>
          <w:rFonts w:hint="eastAsia" w:ascii="仿宋" w:hAnsi="仿宋" w:eastAsia="仿宋" w:cs="仿宋"/>
          <w:spacing w:val="11"/>
          <w:sz w:val="31"/>
          <w:szCs w:val="31"/>
        </w:rPr>
        <w:t>六、2024年一般公共预算基本支出表</w:t>
      </w:r>
    </w:p>
    <w:p w14:paraId="5C15C3C0">
      <w:pPr>
        <w:spacing w:before="2" w:line="578" w:lineRule="atLeast"/>
        <w:ind w:left="22"/>
        <w:rPr>
          <w:rFonts w:hint="eastAsia" w:ascii="仿宋" w:hAnsi="仿宋" w:eastAsia="仿宋" w:cs="仿宋"/>
          <w:spacing w:val="11"/>
          <w:sz w:val="31"/>
          <w:szCs w:val="31"/>
        </w:rPr>
      </w:pPr>
      <w:r>
        <w:rPr>
          <w:rFonts w:hint="eastAsia" w:ascii="仿宋" w:hAnsi="仿宋" w:eastAsia="仿宋" w:cs="仿宋"/>
          <w:spacing w:val="11"/>
          <w:sz w:val="31"/>
          <w:szCs w:val="31"/>
        </w:rPr>
        <w:t>七、2024年一般公共预算基本支出明细表</w:t>
      </w:r>
    </w:p>
    <w:p w14:paraId="6D284382">
      <w:pPr>
        <w:spacing w:before="2" w:line="578" w:lineRule="atLeast"/>
        <w:ind w:left="22"/>
        <w:rPr>
          <w:rFonts w:hint="eastAsia" w:ascii="仿宋" w:hAnsi="仿宋" w:eastAsia="仿宋" w:cs="仿宋"/>
          <w:spacing w:val="11"/>
          <w:sz w:val="31"/>
          <w:szCs w:val="31"/>
        </w:rPr>
      </w:pPr>
      <w:r>
        <w:rPr>
          <w:rFonts w:hint="eastAsia" w:ascii="仿宋" w:hAnsi="仿宋" w:eastAsia="仿宋" w:cs="仿宋"/>
          <w:spacing w:val="11"/>
          <w:sz w:val="31"/>
          <w:szCs w:val="31"/>
        </w:rPr>
        <w:t>八、2024年行政（事业）单位机构运行经费情况表</w:t>
      </w:r>
    </w:p>
    <w:p w14:paraId="057651BE">
      <w:pPr>
        <w:spacing w:before="2" w:line="578" w:lineRule="atLeast"/>
        <w:ind w:left="22"/>
        <w:rPr>
          <w:rFonts w:hint="eastAsia" w:ascii="仿宋" w:hAnsi="仿宋" w:eastAsia="仿宋" w:cs="仿宋"/>
          <w:spacing w:val="11"/>
          <w:sz w:val="31"/>
          <w:szCs w:val="31"/>
        </w:rPr>
      </w:pPr>
      <w:r>
        <w:rPr>
          <w:rFonts w:hint="eastAsia" w:ascii="仿宋" w:hAnsi="仿宋" w:eastAsia="仿宋" w:cs="仿宋"/>
          <w:spacing w:val="11"/>
          <w:sz w:val="31"/>
          <w:szCs w:val="31"/>
        </w:rPr>
        <w:t>九、2024年支出经济分类汇总表</w:t>
      </w:r>
    </w:p>
    <w:p w14:paraId="71DD25AA">
      <w:pPr>
        <w:spacing w:before="2" w:line="578" w:lineRule="atLeast"/>
        <w:ind w:left="22"/>
        <w:rPr>
          <w:rFonts w:hint="eastAsia" w:ascii="仿宋" w:hAnsi="仿宋" w:eastAsia="仿宋" w:cs="仿宋"/>
          <w:spacing w:val="11"/>
          <w:sz w:val="31"/>
          <w:szCs w:val="31"/>
        </w:rPr>
      </w:pPr>
      <w:r>
        <w:rPr>
          <w:rFonts w:hint="eastAsia" w:ascii="仿宋" w:hAnsi="仿宋" w:eastAsia="仿宋" w:cs="仿宋"/>
          <w:spacing w:val="11"/>
          <w:sz w:val="31"/>
          <w:szCs w:val="31"/>
        </w:rPr>
        <w:t>十、2024年一般公共预算“三公”经费支出情况表</w:t>
      </w:r>
    </w:p>
    <w:p w14:paraId="25682CC9">
      <w:pPr>
        <w:spacing w:before="2" w:line="578" w:lineRule="atLeast"/>
        <w:ind w:left="22"/>
        <w:rPr>
          <w:rFonts w:hint="eastAsia" w:ascii="仿宋" w:hAnsi="仿宋" w:eastAsia="仿宋" w:cs="仿宋"/>
          <w:spacing w:val="11"/>
          <w:sz w:val="31"/>
          <w:szCs w:val="31"/>
        </w:rPr>
      </w:pPr>
      <w:r>
        <w:rPr>
          <w:rFonts w:hint="eastAsia" w:ascii="仿宋" w:hAnsi="仿宋" w:eastAsia="仿宋" w:cs="仿宋"/>
          <w:spacing w:val="11"/>
          <w:sz w:val="31"/>
          <w:szCs w:val="31"/>
        </w:rPr>
        <w:t>十一、2024年政府性基金预算支出情况表</w:t>
      </w:r>
    </w:p>
    <w:p w14:paraId="3631CD70">
      <w:pPr>
        <w:spacing w:before="2" w:line="578" w:lineRule="atLeast"/>
        <w:ind w:left="22"/>
        <w:rPr>
          <w:rFonts w:hint="eastAsia" w:ascii="仿宋" w:hAnsi="仿宋" w:eastAsia="仿宋" w:cs="仿宋"/>
          <w:spacing w:val="11"/>
          <w:sz w:val="31"/>
          <w:szCs w:val="31"/>
        </w:rPr>
      </w:pPr>
      <w:r>
        <w:rPr>
          <w:rFonts w:hint="eastAsia" w:ascii="仿宋" w:hAnsi="仿宋" w:eastAsia="仿宋" w:cs="仿宋"/>
          <w:spacing w:val="11"/>
          <w:sz w:val="31"/>
          <w:szCs w:val="31"/>
        </w:rPr>
        <w:t>十二、2024年国有资本经营预算支出表</w:t>
      </w:r>
    </w:p>
    <w:p w14:paraId="694E0CB1">
      <w:pPr>
        <w:spacing w:before="2" w:line="578" w:lineRule="atLeast"/>
        <w:ind w:left="22"/>
        <w:rPr>
          <w:rFonts w:hint="eastAsia" w:ascii="仿宋" w:hAnsi="仿宋" w:eastAsia="仿宋" w:cs="仿宋"/>
          <w:spacing w:val="11"/>
          <w:sz w:val="31"/>
          <w:szCs w:val="31"/>
        </w:rPr>
      </w:pPr>
      <w:r>
        <w:rPr>
          <w:rFonts w:hint="eastAsia" w:ascii="仿宋" w:hAnsi="仿宋" w:eastAsia="仿宋" w:cs="仿宋"/>
          <w:spacing w:val="11"/>
          <w:sz w:val="31"/>
          <w:szCs w:val="31"/>
        </w:rPr>
        <w:t>十三、2024年政府采购预算表</w:t>
      </w:r>
    </w:p>
    <w:p w14:paraId="2229F733">
      <w:pPr>
        <w:spacing w:before="2" w:line="578" w:lineRule="atLeast"/>
        <w:ind w:left="22"/>
        <w:rPr>
          <w:rFonts w:hint="eastAsia" w:ascii="仿宋" w:hAnsi="仿宋" w:eastAsia="仿宋" w:cs="仿宋"/>
          <w:spacing w:val="11"/>
          <w:sz w:val="31"/>
          <w:szCs w:val="31"/>
        </w:rPr>
      </w:pPr>
      <w:r>
        <w:rPr>
          <w:rFonts w:hint="eastAsia" w:ascii="仿宋" w:hAnsi="仿宋" w:eastAsia="仿宋" w:cs="仿宋"/>
          <w:spacing w:val="11"/>
          <w:sz w:val="31"/>
          <w:szCs w:val="31"/>
        </w:rPr>
        <w:t>十四、2024年项目支出表</w:t>
      </w:r>
    </w:p>
    <w:p w14:paraId="54728303">
      <w:pPr>
        <w:spacing w:before="2" w:line="578" w:lineRule="atLeast"/>
        <w:ind w:left="22"/>
        <w:rPr>
          <w:rFonts w:hint="eastAsia" w:ascii="仿宋" w:hAnsi="仿宋" w:eastAsia="仿宋" w:cs="仿宋"/>
          <w:spacing w:val="11"/>
          <w:sz w:val="31"/>
          <w:szCs w:val="31"/>
        </w:rPr>
      </w:pPr>
      <w:r>
        <w:rPr>
          <w:rFonts w:hint="eastAsia" w:ascii="仿宋" w:hAnsi="仿宋" w:eastAsia="仿宋" w:cs="仿宋"/>
          <w:spacing w:val="11"/>
          <w:sz w:val="31"/>
          <w:szCs w:val="31"/>
        </w:rPr>
        <w:t>十五、</w:t>
      </w:r>
      <w:r>
        <w:rPr>
          <w:rFonts w:hint="eastAsia" w:ascii="仿宋" w:hAnsi="仿宋" w:eastAsia="仿宋" w:cs="仿宋"/>
          <w:spacing w:val="11"/>
          <w:sz w:val="31"/>
          <w:szCs w:val="31"/>
          <w:lang w:eastAsia="zh-CN"/>
        </w:rPr>
        <w:t>2024年部门</w:t>
      </w:r>
      <w:r>
        <w:rPr>
          <w:rFonts w:hint="eastAsia" w:ascii="仿宋" w:hAnsi="仿宋" w:eastAsia="仿宋" w:cs="仿宋"/>
          <w:spacing w:val="11"/>
          <w:sz w:val="31"/>
          <w:szCs w:val="31"/>
        </w:rPr>
        <w:t>整体绩效目标表</w:t>
      </w:r>
    </w:p>
    <w:p w14:paraId="7CC32935">
      <w:pPr>
        <w:spacing w:before="2" w:line="578" w:lineRule="atLeast"/>
        <w:ind w:left="22"/>
        <w:rPr>
          <w:rFonts w:ascii="仿宋" w:hAnsi="仿宋" w:eastAsia="仿宋" w:cs="仿宋"/>
          <w:spacing w:val="8"/>
          <w:sz w:val="31"/>
          <w:szCs w:val="31"/>
        </w:rPr>
      </w:pPr>
      <w:r>
        <w:rPr>
          <w:rFonts w:hint="eastAsia" w:ascii="仿宋" w:hAnsi="仿宋" w:eastAsia="仿宋" w:cs="仿宋"/>
          <w:spacing w:val="11"/>
          <w:sz w:val="31"/>
          <w:szCs w:val="31"/>
        </w:rPr>
        <w:t>十六、</w:t>
      </w:r>
      <w:r>
        <w:rPr>
          <w:rFonts w:hint="eastAsia" w:ascii="仿宋" w:hAnsi="仿宋" w:eastAsia="仿宋" w:cs="仿宋"/>
          <w:spacing w:val="11"/>
          <w:sz w:val="31"/>
          <w:szCs w:val="31"/>
          <w:lang w:eastAsia="zh-CN"/>
        </w:rPr>
        <w:t>2024年部门</w:t>
      </w:r>
      <w:r>
        <w:rPr>
          <w:rFonts w:hint="eastAsia" w:ascii="仿宋" w:hAnsi="仿宋" w:eastAsia="仿宋" w:cs="仿宋"/>
          <w:spacing w:val="11"/>
          <w:sz w:val="31"/>
          <w:szCs w:val="31"/>
        </w:rPr>
        <w:t>预算项目绩效目标</w:t>
      </w:r>
      <w:r>
        <w:rPr>
          <w:rFonts w:hint="eastAsia" w:ascii="仿宋" w:hAnsi="仿宋" w:eastAsia="仿宋" w:cs="仿宋"/>
          <w:spacing w:val="11"/>
          <w:sz w:val="31"/>
          <w:szCs w:val="31"/>
          <w:lang w:val="en-US" w:eastAsia="zh-CN"/>
        </w:rPr>
        <w:t>汇总</w:t>
      </w:r>
      <w:r>
        <w:rPr>
          <w:rFonts w:hint="eastAsia" w:ascii="仿宋" w:hAnsi="仿宋" w:eastAsia="仿宋" w:cs="仿宋"/>
          <w:spacing w:val="11"/>
          <w:sz w:val="31"/>
          <w:szCs w:val="31"/>
        </w:rPr>
        <w:t>表</w:t>
      </w:r>
    </w:p>
    <w:p w14:paraId="0267092E">
      <w:pPr>
        <w:rPr>
          <w:rFonts w:ascii="仿宋" w:hAnsi="仿宋" w:eastAsia="仿宋" w:cs="仿宋"/>
          <w:spacing w:val="8"/>
          <w:sz w:val="31"/>
          <w:szCs w:val="31"/>
        </w:rPr>
      </w:pPr>
      <w:r>
        <w:br w:type="page"/>
      </w:r>
    </w:p>
    <w:p w14:paraId="1E12B040">
      <w:pPr>
        <w:spacing w:before="1" w:line="578" w:lineRule="atLeast"/>
        <w:jc w:val="center"/>
        <w:rPr>
          <w:rFonts w:hint="eastAsia" w:ascii="黑体" w:hAnsi="黑体" w:eastAsia="黑体" w:cs="黑体"/>
          <w:spacing w:val="19"/>
          <w:sz w:val="31"/>
          <w:szCs w:val="31"/>
          <w:lang w:eastAsia="zh-CN"/>
        </w:rPr>
      </w:pPr>
      <w:r>
        <w:rPr>
          <w:rFonts w:hint="eastAsia" w:ascii="黑体" w:hAnsi="黑体" w:eastAsia="黑体" w:cs="黑体"/>
          <w:spacing w:val="19"/>
          <w:sz w:val="31"/>
          <w:szCs w:val="31"/>
        </w:rPr>
        <w:t>第一部分</w:t>
      </w:r>
    </w:p>
    <w:p w14:paraId="3F017A68">
      <w:pPr>
        <w:spacing w:before="1" w:line="578" w:lineRule="atLeast"/>
        <w:jc w:val="center"/>
        <w:rPr>
          <w:rFonts w:ascii="黑体" w:hAnsi="黑体" w:eastAsia="黑体" w:cs="黑体"/>
          <w:spacing w:val="19"/>
          <w:sz w:val="31"/>
          <w:szCs w:val="31"/>
        </w:rPr>
      </w:pPr>
      <w:r>
        <w:rPr>
          <w:rFonts w:hint="eastAsia" w:ascii="黑体" w:hAnsi="黑体" w:eastAsia="黑体" w:cs="黑体"/>
          <w:spacing w:val="19"/>
          <w:sz w:val="31"/>
          <w:szCs w:val="31"/>
        </w:rPr>
        <w:t xml:space="preserve"> 鹿邑县文化广电和旅游局概况</w:t>
      </w:r>
    </w:p>
    <w:p w14:paraId="6BFEDB29">
      <w:pPr>
        <w:widowControl w:val="0"/>
        <w:numPr>
          <w:ilvl w:val="0"/>
          <w:numId w:val="1"/>
        </w:numPr>
        <w:kinsoku/>
        <w:autoSpaceDE/>
        <w:autoSpaceDN/>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rPr>
      </w:pPr>
      <w:r>
        <w:rPr>
          <w:rFonts w:hint="eastAsia" w:ascii="黑体" w:hAnsi="宋体" w:eastAsia="黑体" w:cs="Times New Roman"/>
          <w:snapToGrid/>
          <w:spacing w:val="-2"/>
          <w:kern w:val="2"/>
          <w:sz w:val="32"/>
          <w:szCs w:val="32"/>
        </w:rPr>
        <w:t>主要职责</w:t>
      </w:r>
    </w:p>
    <w:p w14:paraId="1E2C5753">
      <w:pPr>
        <w:widowControl w:val="0"/>
        <w:numPr>
          <w:ilvl w:val="0"/>
          <w:numId w:val="0"/>
        </w:numPr>
        <w:kinsoku/>
        <w:autoSpaceDE/>
        <w:autoSpaceDN/>
        <w:adjustRightInd/>
        <w:snapToGrid/>
        <w:spacing w:line="578" w:lineRule="exact"/>
        <w:jc w:val="both"/>
        <w:textAlignment w:val="auto"/>
        <w:rPr>
          <w:rFonts w:hint="eastAsia" w:ascii="仿宋" w:hAnsi="仿宋" w:eastAsia="仿宋" w:cs="仿宋"/>
          <w:snapToGrid/>
          <w:spacing w:val="-2"/>
          <w:kern w:val="2"/>
          <w:sz w:val="32"/>
          <w:szCs w:val="32"/>
          <w:lang w:val="en-US" w:eastAsia="zh-CN"/>
        </w:rPr>
      </w:pPr>
      <w:r>
        <w:rPr>
          <w:rFonts w:hint="eastAsia" w:ascii="黑体" w:hAnsi="宋体" w:eastAsia="黑体" w:cs="Times New Roman"/>
          <w:snapToGrid/>
          <w:spacing w:val="-2"/>
          <w:kern w:val="2"/>
          <w:sz w:val="32"/>
          <w:szCs w:val="32"/>
          <w:lang w:val="en-US" w:eastAsia="zh-CN"/>
        </w:rPr>
        <w:t xml:space="preserve">  </w:t>
      </w:r>
      <w:r>
        <w:rPr>
          <w:rFonts w:hint="eastAsia" w:ascii="仿宋" w:hAnsi="仿宋" w:eastAsia="仿宋" w:cs="仿宋"/>
          <w:snapToGrid/>
          <w:spacing w:val="-2"/>
          <w:kern w:val="2"/>
          <w:sz w:val="32"/>
          <w:szCs w:val="32"/>
          <w:lang w:val="en-US" w:eastAsia="zh-CN"/>
        </w:rPr>
        <w:t>（一）机构设置情况</w:t>
      </w:r>
    </w:p>
    <w:p w14:paraId="453B2FE1">
      <w:pPr>
        <w:widowControl w:val="0"/>
        <w:numPr>
          <w:ilvl w:val="0"/>
          <w:numId w:val="0"/>
        </w:numPr>
        <w:kinsoku/>
        <w:autoSpaceDE/>
        <w:autoSpaceDN/>
        <w:adjustRightInd/>
        <w:snapToGrid/>
        <w:spacing w:line="578" w:lineRule="exact"/>
        <w:ind w:firstLine="632" w:firstLineChars="200"/>
        <w:jc w:val="both"/>
        <w:textAlignment w:val="auto"/>
        <w:rPr>
          <w:rFonts w:hint="eastAsia" w:ascii="仿宋" w:hAnsi="仿宋" w:eastAsia="仿宋" w:cs="仿宋"/>
          <w:snapToGrid/>
          <w:spacing w:val="-2"/>
          <w:kern w:val="2"/>
          <w:sz w:val="32"/>
          <w:szCs w:val="32"/>
          <w:lang w:val="en-US" w:eastAsia="zh-CN"/>
        </w:rPr>
      </w:pPr>
      <w:r>
        <w:rPr>
          <w:rFonts w:hint="eastAsia" w:ascii="仿宋" w:hAnsi="仿宋" w:eastAsia="仿宋" w:cs="仿宋"/>
          <w:snapToGrid/>
          <w:spacing w:val="-2"/>
          <w:kern w:val="2"/>
          <w:sz w:val="32"/>
          <w:szCs w:val="32"/>
          <w:lang w:val="en-US" w:eastAsia="zh-CN"/>
        </w:rPr>
        <w:t>鹿邑县文化广电和旅游局是县政府工作单位，现有在编人员153人（其中：行政32人、事业103人、行政离休2人、事业离休1人、退伍兵15人），享受遗属补助10人。鹿邑县文化广电和旅游局内设9个科室、5个所属事业单位（分别为鹿邑县文化馆、鹿邑县图书馆、鹿邑县博物馆、鹿邑县豫剧团、鹿邑县文化综合执法大队）。</w:t>
      </w:r>
    </w:p>
    <w:p w14:paraId="6DBF7500">
      <w:pPr>
        <w:widowControl w:val="0"/>
        <w:numPr>
          <w:ilvl w:val="0"/>
          <w:numId w:val="0"/>
        </w:numPr>
        <w:kinsoku/>
        <w:autoSpaceDE/>
        <w:autoSpaceDN/>
        <w:adjustRightInd/>
        <w:snapToGrid/>
        <w:spacing w:line="578" w:lineRule="exact"/>
        <w:ind w:firstLine="316" w:firstLineChars="100"/>
        <w:jc w:val="both"/>
        <w:textAlignment w:val="auto"/>
        <w:rPr>
          <w:rFonts w:hint="eastAsia" w:ascii="仿宋" w:hAnsi="仿宋" w:eastAsia="仿宋" w:cs="仿宋"/>
          <w:snapToGrid/>
          <w:spacing w:val="-2"/>
          <w:kern w:val="2"/>
          <w:sz w:val="32"/>
          <w:szCs w:val="32"/>
          <w:lang w:val="en-US" w:eastAsia="zh-CN"/>
        </w:rPr>
      </w:pPr>
      <w:r>
        <w:rPr>
          <w:rFonts w:hint="eastAsia" w:ascii="仿宋" w:hAnsi="仿宋" w:eastAsia="仿宋" w:cs="仿宋"/>
          <w:snapToGrid/>
          <w:spacing w:val="-2"/>
          <w:kern w:val="2"/>
          <w:sz w:val="32"/>
          <w:szCs w:val="32"/>
          <w:lang w:val="en-US" w:eastAsia="zh-CN"/>
        </w:rPr>
        <w:t>（二）部门职责</w:t>
      </w:r>
    </w:p>
    <w:p w14:paraId="140F8A2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cs="仿宋"/>
          <w:snapToGrid/>
          <w:spacing w:val="-2"/>
          <w:kern w:val="2"/>
          <w:sz w:val="32"/>
          <w:szCs w:val="32"/>
          <w:lang w:val="en-US" w:eastAsia="zh-CN"/>
        </w:rPr>
      </w:pPr>
      <w:r>
        <w:rPr>
          <w:rFonts w:hint="eastAsia" w:ascii="仿宋" w:hAnsi="仿宋" w:eastAsia="仿宋" w:cs="仿宋"/>
          <w:snapToGrid/>
          <w:spacing w:val="-2"/>
          <w:kern w:val="2"/>
          <w:sz w:val="32"/>
          <w:szCs w:val="32"/>
          <w:lang w:val="en-US" w:eastAsia="zh-CN"/>
        </w:rPr>
        <w:t>1、 贯彻落实党和国家关于文化工作的方针政策，研究拟订全县文化、广播电视和旅游政策措施并组织实施。</w:t>
      </w:r>
    </w:p>
    <w:p w14:paraId="2205E90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cs="仿宋"/>
          <w:snapToGrid/>
          <w:spacing w:val="-2"/>
          <w:kern w:val="2"/>
          <w:sz w:val="32"/>
          <w:szCs w:val="32"/>
          <w:lang w:val="en-US" w:eastAsia="zh-CN"/>
        </w:rPr>
      </w:pPr>
      <w:r>
        <w:rPr>
          <w:rFonts w:hint="eastAsia" w:ascii="仿宋" w:hAnsi="仿宋" w:eastAsia="仿宋" w:cs="仿宋"/>
          <w:snapToGrid/>
          <w:spacing w:val="-2"/>
          <w:kern w:val="2"/>
          <w:sz w:val="32"/>
          <w:szCs w:val="32"/>
          <w:lang w:val="en-US" w:eastAsia="zh-CN"/>
        </w:rPr>
        <w:t>2、 统筹规划全县文化、文物、广播电视和旅游发展，拟定发展规划并组织实施，推进文化和旅游融合发展，推进文化、文物、广播电视和旅游体制机制改革。</w:t>
      </w:r>
    </w:p>
    <w:p w14:paraId="233FC1B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cs="仿宋"/>
          <w:snapToGrid/>
          <w:spacing w:val="-2"/>
          <w:kern w:val="2"/>
          <w:sz w:val="32"/>
          <w:szCs w:val="32"/>
          <w:lang w:val="en-US" w:eastAsia="zh-CN"/>
        </w:rPr>
      </w:pPr>
      <w:r>
        <w:rPr>
          <w:rFonts w:hint="eastAsia" w:ascii="仿宋" w:hAnsi="仿宋" w:eastAsia="仿宋" w:cs="仿宋"/>
          <w:snapToGrid/>
          <w:spacing w:val="-2"/>
          <w:kern w:val="2"/>
          <w:sz w:val="32"/>
          <w:szCs w:val="32"/>
          <w:lang w:val="en-US" w:eastAsia="zh-CN"/>
        </w:rPr>
        <w:t>3、 指导、管理全县文艺事业，指导艺术创作生产扶持体现社会主义核心价值观、具有导向性代表性示范性的文艺作品，推动各门类艺术、各艺术品种发展。</w:t>
      </w:r>
    </w:p>
    <w:p w14:paraId="5082D08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cs="仿宋"/>
          <w:snapToGrid/>
          <w:spacing w:val="-2"/>
          <w:kern w:val="2"/>
          <w:sz w:val="32"/>
          <w:szCs w:val="32"/>
          <w:lang w:val="en-US" w:eastAsia="zh-CN"/>
        </w:rPr>
      </w:pPr>
      <w:r>
        <w:rPr>
          <w:rFonts w:hint="eastAsia" w:ascii="仿宋" w:hAnsi="仿宋" w:eastAsia="仿宋" w:cs="仿宋"/>
          <w:snapToGrid/>
          <w:spacing w:val="-2"/>
          <w:kern w:val="2"/>
          <w:sz w:val="32"/>
          <w:szCs w:val="32"/>
          <w:lang w:val="en-US" w:eastAsia="zh-CN"/>
        </w:rPr>
        <w:t>4、 负责全县非物质文化遗产保护，推动非物质文化遗产的传承、普及、弘扬和振兴，推进全县优秀传统文化传承发展。</w:t>
      </w:r>
    </w:p>
    <w:p w14:paraId="37B4CA1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cs="仿宋"/>
          <w:snapToGrid/>
          <w:spacing w:val="-2"/>
          <w:kern w:val="2"/>
          <w:sz w:val="32"/>
          <w:szCs w:val="32"/>
          <w:lang w:val="en-US" w:eastAsia="zh-CN"/>
        </w:rPr>
      </w:pPr>
      <w:r>
        <w:rPr>
          <w:rFonts w:hint="eastAsia" w:ascii="仿宋" w:hAnsi="仿宋" w:eastAsia="仿宋" w:cs="仿宋"/>
          <w:snapToGrid/>
          <w:spacing w:val="-2"/>
          <w:kern w:val="2"/>
          <w:sz w:val="32"/>
          <w:szCs w:val="32"/>
          <w:lang w:val="en-US" w:eastAsia="zh-CN"/>
        </w:rPr>
        <w:t>5、 负责全县公共文化、旅游事业发展，推进全县公共文化服务体系建设和旅游公共服务建设，深入实施文化和旅游惠民工程。</w:t>
      </w:r>
    </w:p>
    <w:p w14:paraId="5C3E3F9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cs="仿宋"/>
          <w:snapToGrid/>
          <w:spacing w:val="-2"/>
          <w:kern w:val="2"/>
          <w:sz w:val="32"/>
          <w:szCs w:val="32"/>
          <w:lang w:val="en-US" w:eastAsia="zh-CN"/>
        </w:rPr>
      </w:pPr>
      <w:r>
        <w:rPr>
          <w:rFonts w:hint="eastAsia" w:ascii="仿宋" w:hAnsi="仿宋" w:eastAsia="仿宋" w:cs="仿宋"/>
          <w:snapToGrid/>
          <w:spacing w:val="-2"/>
          <w:kern w:val="2"/>
          <w:sz w:val="32"/>
          <w:szCs w:val="32"/>
          <w:lang w:val="en-US" w:eastAsia="zh-CN"/>
        </w:rPr>
        <w:t>6、 指导、管理全县文物和考古工作，组织文物资源调查，开展文物保护和利用。</w:t>
      </w:r>
    </w:p>
    <w:p w14:paraId="1477CAC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cs="仿宋"/>
          <w:snapToGrid/>
          <w:spacing w:val="-2"/>
          <w:kern w:val="2"/>
          <w:sz w:val="32"/>
          <w:szCs w:val="32"/>
          <w:lang w:val="en-US" w:eastAsia="zh-CN"/>
        </w:rPr>
      </w:pPr>
      <w:r>
        <w:rPr>
          <w:rFonts w:hint="eastAsia" w:ascii="仿宋" w:hAnsi="仿宋" w:eastAsia="仿宋" w:cs="仿宋"/>
          <w:snapToGrid/>
          <w:spacing w:val="-2"/>
          <w:kern w:val="2"/>
          <w:sz w:val="32"/>
          <w:szCs w:val="32"/>
          <w:lang w:val="en-US" w:eastAsia="zh-CN"/>
        </w:rPr>
        <w:t>7、 指导、管理全县博物馆、纪念馆工作，完善公共服务体系，负责社会文物管理、文物科技保护和对外交流工作，协调指导全县文物安全工作。</w:t>
      </w:r>
    </w:p>
    <w:p w14:paraId="5FAD079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cs="仿宋"/>
          <w:snapToGrid/>
          <w:spacing w:val="-2"/>
          <w:kern w:val="2"/>
          <w:sz w:val="32"/>
          <w:szCs w:val="32"/>
          <w:lang w:val="en-US" w:eastAsia="zh-CN"/>
        </w:rPr>
      </w:pPr>
      <w:r>
        <w:rPr>
          <w:rFonts w:hint="eastAsia" w:ascii="仿宋" w:hAnsi="仿宋" w:eastAsia="仿宋" w:cs="仿宋"/>
          <w:snapToGrid/>
          <w:spacing w:val="-2"/>
          <w:kern w:val="2"/>
          <w:sz w:val="32"/>
          <w:szCs w:val="32"/>
          <w:lang w:val="en-US" w:eastAsia="zh-CN"/>
        </w:rPr>
        <w:t>8、 负责对全县各类广播电视机构进行业务指导和行业监管，指导电视剧行业发展和电视剧创作生产，指导网络视听节目服务管理，对全县广播电视节目覆盖、监测和安全播出进行监管。</w:t>
      </w:r>
    </w:p>
    <w:p w14:paraId="3CFDB27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cs="仿宋"/>
          <w:snapToGrid/>
          <w:spacing w:val="-2"/>
          <w:kern w:val="2"/>
          <w:sz w:val="32"/>
          <w:szCs w:val="32"/>
          <w:lang w:val="en-US" w:eastAsia="zh-CN"/>
        </w:rPr>
      </w:pPr>
      <w:r>
        <w:rPr>
          <w:rFonts w:hint="eastAsia" w:ascii="仿宋" w:hAnsi="仿宋" w:eastAsia="仿宋" w:cs="仿宋"/>
          <w:snapToGrid/>
          <w:spacing w:val="-2"/>
          <w:kern w:val="2"/>
          <w:sz w:val="32"/>
          <w:szCs w:val="32"/>
          <w:lang w:val="en-US" w:eastAsia="zh-CN"/>
        </w:rPr>
        <w:t>9、 统筹规划全县文化产业和旅游产业，组织实施全县文化和旅游资源的普查、挖掘、保护和利用工作，促进文化产业和旅游业发展。</w:t>
      </w:r>
    </w:p>
    <w:p w14:paraId="07EDA10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cs="仿宋"/>
          <w:snapToGrid/>
          <w:spacing w:val="-2"/>
          <w:kern w:val="2"/>
          <w:sz w:val="32"/>
          <w:szCs w:val="32"/>
          <w:lang w:val="en-US" w:eastAsia="zh-CN"/>
        </w:rPr>
      </w:pPr>
      <w:r>
        <w:rPr>
          <w:rFonts w:hint="eastAsia" w:ascii="仿宋" w:hAnsi="仿宋" w:eastAsia="仿宋" w:cs="仿宋"/>
          <w:snapToGrid/>
          <w:spacing w:val="-2"/>
          <w:kern w:val="2"/>
          <w:sz w:val="32"/>
          <w:szCs w:val="32"/>
          <w:lang w:val="en-US" w:eastAsia="zh-CN"/>
        </w:rPr>
        <w:t>10、管理全县重大文化和旅游活动，指导全县文化、文物、广播电视和旅游重点设施建设，组织全县文化和旅游整体形象宣传推广，促进文化产业和旅游产业对外合作、交流和市场推广，拟订旅游市场开发规划并组织实施，指导推进全域旅游。</w:t>
      </w:r>
    </w:p>
    <w:p w14:paraId="1B76D1C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cs="仿宋"/>
          <w:snapToGrid/>
          <w:spacing w:val="-2"/>
          <w:kern w:val="2"/>
          <w:sz w:val="32"/>
          <w:szCs w:val="32"/>
          <w:lang w:val="en-US" w:eastAsia="zh-CN"/>
        </w:rPr>
      </w:pPr>
      <w:r>
        <w:rPr>
          <w:rFonts w:hint="eastAsia" w:ascii="仿宋" w:hAnsi="仿宋" w:eastAsia="仿宋" w:cs="仿宋"/>
          <w:snapToGrid/>
          <w:spacing w:val="-2"/>
          <w:kern w:val="2"/>
          <w:sz w:val="32"/>
          <w:szCs w:val="32"/>
          <w:lang w:val="en-US" w:eastAsia="zh-CN"/>
        </w:rPr>
        <w:t>11、指导、推进全县文化、文物、广播电视和旅游科技创新融合发展，推进行业信息化、标准化建设。</w:t>
      </w:r>
    </w:p>
    <w:p w14:paraId="07EA738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cs="仿宋"/>
          <w:snapToGrid/>
          <w:spacing w:val="-2"/>
          <w:kern w:val="2"/>
          <w:sz w:val="32"/>
          <w:szCs w:val="32"/>
          <w:lang w:val="en-US" w:eastAsia="zh-CN"/>
        </w:rPr>
      </w:pPr>
      <w:r>
        <w:rPr>
          <w:rFonts w:hint="eastAsia" w:ascii="仿宋" w:hAnsi="仿宋" w:eastAsia="仿宋" w:cs="仿宋"/>
          <w:snapToGrid/>
          <w:spacing w:val="-2"/>
          <w:kern w:val="2"/>
          <w:sz w:val="32"/>
          <w:szCs w:val="32"/>
          <w:lang w:val="en-US" w:eastAsia="zh-CN"/>
        </w:rPr>
        <w:t>12、指导全县文化和旅游市场发展，对文化和旅游领域的市场经管活动进行行业监管，推进文化和旅游行业信用体系建设，依法规范文化和旅游市场，会同有关部门履行文化、文物、广播电视和旅游行业安全监督责任，指导、监督、管理全县文化市场综合执法，维护市场秩序。</w:t>
      </w:r>
    </w:p>
    <w:p w14:paraId="10B1326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cs="仿宋"/>
          <w:snapToGrid/>
          <w:spacing w:val="-2"/>
          <w:kern w:val="2"/>
          <w:sz w:val="32"/>
          <w:szCs w:val="32"/>
          <w:lang w:val="en-US" w:eastAsia="zh-CN"/>
        </w:rPr>
      </w:pPr>
      <w:r>
        <w:rPr>
          <w:rFonts w:hint="eastAsia" w:ascii="仿宋" w:hAnsi="仿宋" w:eastAsia="仿宋" w:cs="仿宋"/>
          <w:snapToGrid/>
          <w:spacing w:val="-2"/>
          <w:kern w:val="2"/>
          <w:sz w:val="32"/>
          <w:szCs w:val="32"/>
          <w:lang w:val="en-US" w:eastAsia="zh-CN"/>
        </w:rPr>
        <w:t>13、负责拟订全县动漫和网络游戏发展规划并组织实施，指导、协调全县动漫、游戏产业发展。对影视动漫和网络视听节目中的动漫节目进行管理。</w:t>
      </w:r>
    </w:p>
    <w:p w14:paraId="1204040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cs="仿宋"/>
          <w:snapToGrid/>
          <w:spacing w:val="-2"/>
          <w:kern w:val="2"/>
          <w:sz w:val="32"/>
          <w:szCs w:val="32"/>
          <w:lang w:val="en-US" w:eastAsia="zh-CN"/>
        </w:rPr>
      </w:pPr>
      <w:r>
        <w:rPr>
          <w:rFonts w:hint="eastAsia" w:ascii="仿宋" w:hAnsi="仿宋" w:eastAsia="仿宋" w:cs="仿宋"/>
          <w:snapToGrid/>
          <w:spacing w:val="-2"/>
          <w:kern w:val="2"/>
          <w:sz w:val="32"/>
          <w:szCs w:val="32"/>
          <w:lang w:val="en-US" w:eastAsia="zh-CN"/>
        </w:rPr>
        <w:t>14、承办县委、县政府交办的其他事项。</w:t>
      </w:r>
    </w:p>
    <w:p w14:paraId="27C07250">
      <w:pPr>
        <w:widowControl w:val="0"/>
        <w:kinsoku/>
        <w:autoSpaceDE/>
        <w:autoSpaceDN/>
        <w:adjustRightInd/>
        <w:snapToGrid/>
        <w:spacing w:line="578" w:lineRule="exact"/>
        <w:ind w:firstLine="632" w:firstLineChars="200"/>
        <w:jc w:val="both"/>
        <w:textAlignment w:val="auto"/>
        <w:rPr>
          <w:rFonts w:ascii="黑体" w:hAnsi="宋体" w:eastAsia="黑体" w:cs="Times New Roman"/>
          <w:snapToGrid/>
          <w:spacing w:val="-2"/>
          <w:kern w:val="2"/>
          <w:sz w:val="32"/>
          <w:szCs w:val="32"/>
        </w:rPr>
      </w:pPr>
      <w:r>
        <w:rPr>
          <w:rFonts w:hint="eastAsia" w:ascii="黑体" w:hAnsi="宋体" w:eastAsia="黑体" w:cs="Times New Roman"/>
          <w:snapToGrid/>
          <w:spacing w:val="-2"/>
          <w:kern w:val="2"/>
          <w:sz w:val="32"/>
          <w:szCs w:val="32"/>
        </w:rPr>
        <w:t>二、鹿邑县文化广电和旅游局部门预算单位构成情况</w:t>
      </w:r>
    </w:p>
    <w:p w14:paraId="72F376C6">
      <w:pPr>
        <w:widowControl w:val="0"/>
        <w:kinsoku/>
        <w:wordWrap w:val="0"/>
        <w:autoSpaceDE/>
        <w:autoSpaceDN/>
        <w:adjustRightInd/>
        <w:snapToGrid/>
        <w:spacing w:line="578" w:lineRule="exact"/>
        <w:ind w:firstLine="640"/>
        <w:textAlignment w:val="auto"/>
        <w:rPr>
          <w:rFonts w:hint="eastAsia" w:ascii="仿宋" w:hAnsi="仿宋" w:eastAsia="仿宋" w:cs="仿宋"/>
          <w:snapToGrid/>
          <w:kern w:val="2"/>
          <w:sz w:val="32"/>
          <w:szCs w:val="32"/>
        </w:rPr>
      </w:pPr>
      <w:r>
        <w:rPr>
          <w:rFonts w:hint="eastAsia" w:ascii="仿宋" w:hAnsi="仿宋" w:eastAsia="仿宋" w:cs="仿宋"/>
          <w:snapToGrid/>
          <w:kern w:val="2"/>
          <w:sz w:val="32"/>
          <w:szCs w:val="32"/>
        </w:rPr>
        <w:t>本</w:t>
      </w:r>
      <w:r>
        <w:rPr>
          <w:rFonts w:hint="eastAsia" w:ascii="仿宋" w:hAnsi="仿宋" w:eastAsia="仿宋" w:cs="仿宋"/>
          <w:snapToGrid/>
          <w:kern w:val="2"/>
          <w:sz w:val="32"/>
          <w:szCs w:val="32"/>
          <w:lang w:eastAsia="zh-CN"/>
        </w:rPr>
        <w:t>部门</w:t>
      </w:r>
      <w:r>
        <w:rPr>
          <w:rFonts w:hint="eastAsia" w:ascii="仿宋" w:hAnsi="仿宋" w:eastAsia="仿宋" w:cs="仿宋"/>
          <w:snapToGrid/>
          <w:kern w:val="2"/>
          <w:sz w:val="32"/>
          <w:szCs w:val="32"/>
        </w:rPr>
        <w:t>预算为包括本级预算和所属单位预算在内的汇总预算，预算单位构成</w:t>
      </w:r>
      <w:r>
        <w:rPr>
          <w:rFonts w:hint="eastAsia" w:ascii="仿宋" w:hAnsi="仿宋" w:eastAsia="仿宋" w:cs="仿宋"/>
          <w:snapToGrid/>
          <w:kern w:val="2"/>
          <w:sz w:val="32"/>
          <w:szCs w:val="32"/>
          <w:lang w:eastAsia="zh-CN"/>
        </w:rPr>
        <w:t>具体是</w:t>
      </w:r>
      <w:r>
        <w:rPr>
          <w:rFonts w:hint="eastAsia" w:ascii="仿宋" w:hAnsi="仿宋" w:eastAsia="仿宋" w:cs="仿宋"/>
          <w:snapToGrid/>
          <w:kern w:val="2"/>
          <w:sz w:val="32"/>
          <w:szCs w:val="32"/>
        </w:rPr>
        <w:t>：</w:t>
      </w:r>
    </w:p>
    <w:p w14:paraId="664CE165">
      <w:pPr>
        <w:widowControl w:val="0"/>
        <w:numPr>
          <w:ilvl w:val="0"/>
          <w:numId w:val="2"/>
        </w:numPr>
        <w:kinsoku/>
        <w:wordWrap w:val="0"/>
        <w:autoSpaceDE/>
        <w:autoSpaceDN/>
        <w:adjustRightInd/>
        <w:snapToGrid/>
        <w:spacing w:line="578" w:lineRule="exact"/>
        <w:ind w:firstLine="640"/>
        <w:textAlignment w:val="auto"/>
        <w:rPr>
          <w:rFonts w:hint="eastAsia" w:ascii="仿宋" w:hAnsi="仿宋" w:eastAsia="仿宋" w:cs="仿宋"/>
          <w:snapToGrid/>
          <w:kern w:val="2"/>
          <w:sz w:val="32"/>
          <w:szCs w:val="32"/>
          <w:lang w:val="en-US" w:eastAsia="zh-CN"/>
        </w:rPr>
      </w:pPr>
      <w:r>
        <w:rPr>
          <w:rFonts w:hint="eastAsia" w:ascii="仿宋" w:hAnsi="仿宋" w:eastAsia="仿宋" w:cs="仿宋"/>
          <w:snapToGrid/>
          <w:kern w:val="2"/>
          <w:sz w:val="32"/>
          <w:szCs w:val="32"/>
          <w:lang w:val="en-US" w:eastAsia="zh-CN"/>
        </w:rPr>
        <w:t>鹿邑县文化广电和旅游局（本级）</w:t>
      </w:r>
    </w:p>
    <w:p w14:paraId="2239B468">
      <w:pPr>
        <w:widowControl w:val="0"/>
        <w:numPr>
          <w:ilvl w:val="0"/>
          <w:numId w:val="2"/>
        </w:numPr>
        <w:kinsoku/>
        <w:wordWrap w:val="0"/>
        <w:autoSpaceDE/>
        <w:autoSpaceDN/>
        <w:adjustRightInd/>
        <w:snapToGrid/>
        <w:spacing w:line="578" w:lineRule="exact"/>
        <w:ind w:firstLine="640"/>
        <w:textAlignment w:val="auto"/>
        <w:rPr>
          <w:rFonts w:hint="eastAsia" w:ascii="仿宋" w:hAnsi="仿宋" w:eastAsia="仿宋" w:cs="仿宋"/>
          <w:snapToGrid/>
          <w:kern w:val="2"/>
          <w:sz w:val="32"/>
          <w:szCs w:val="32"/>
          <w:lang w:eastAsia="zh-CN"/>
        </w:rPr>
      </w:pPr>
      <w:r>
        <w:rPr>
          <w:rFonts w:hint="eastAsia" w:ascii="仿宋" w:hAnsi="仿宋" w:eastAsia="仿宋" w:cs="仿宋"/>
          <w:snapToGrid/>
          <w:kern w:val="2"/>
          <w:sz w:val="32"/>
          <w:szCs w:val="32"/>
        </w:rPr>
        <w:t>鹿邑县文化馆</w:t>
      </w:r>
    </w:p>
    <w:p w14:paraId="283B440B">
      <w:pPr>
        <w:widowControl w:val="0"/>
        <w:numPr>
          <w:ilvl w:val="0"/>
          <w:numId w:val="2"/>
        </w:numPr>
        <w:kinsoku/>
        <w:wordWrap w:val="0"/>
        <w:autoSpaceDE/>
        <w:autoSpaceDN/>
        <w:adjustRightInd/>
        <w:snapToGrid/>
        <w:spacing w:line="578" w:lineRule="exact"/>
        <w:ind w:firstLine="640"/>
        <w:textAlignment w:val="auto"/>
        <w:rPr>
          <w:rFonts w:hint="eastAsia" w:ascii="仿宋" w:hAnsi="仿宋" w:eastAsia="仿宋" w:cs="仿宋"/>
          <w:snapToGrid/>
          <w:kern w:val="2"/>
          <w:sz w:val="32"/>
          <w:szCs w:val="32"/>
          <w:lang w:eastAsia="zh-CN"/>
        </w:rPr>
      </w:pPr>
      <w:r>
        <w:rPr>
          <w:rFonts w:hint="eastAsia" w:ascii="仿宋" w:hAnsi="仿宋" w:eastAsia="仿宋" w:cs="仿宋"/>
          <w:snapToGrid/>
          <w:kern w:val="2"/>
          <w:sz w:val="32"/>
          <w:szCs w:val="32"/>
        </w:rPr>
        <w:t>鹿邑县图书馆</w:t>
      </w:r>
    </w:p>
    <w:p w14:paraId="5A0BAAA0">
      <w:pPr>
        <w:widowControl w:val="0"/>
        <w:numPr>
          <w:ilvl w:val="0"/>
          <w:numId w:val="2"/>
        </w:numPr>
        <w:kinsoku/>
        <w:wordWrap w:val="0"/>
        <w:autoSpaceDE/>
        <w:autoSpaceDN/>
        <w:adjustRightInd/>
        <w:snapToGrid/>
        <w:spacing w:line="578" w:lineRule="exact"/>
        <w:ind w:firstLine="640"/>
        <w:textAlignment w:val="auto"/>
        <w:rPr>
          <w:rFonts w:hint="eastAsia" w:ascii="仿宋" w:hAnsi="仿宋" w:eastAsia="仿宋" w:cs="仿宋"/>
          <w:snapToGrid/>
          <w:kern w:val="2"/>
          <w:sz w:val="32"/>
          <w:szCs w:val="32"/>
          <w:lang w:eastAsia="zh-CN"/>
        </w:rPr>
      </w:pPr>
      <w:r>
        <w:rPr>
          <w:rFonts w:hint="eastAsia" w:ascii="仿宋" w:hAnsi="仿宋" w:eastAsia="仿宋" w:cs="仿宋"/>
          <w:snapToGrid/>
          <w:kern w:val="2"/>
          <w:sz w:val="32"/>
          <w:szCs w:val="32"/>
        </w:rPr>
        <w:t>鹿邑县博物馆</w:t>
      </w:r>
    </w:p>
    <w:p w14:paraId="59683232">
      <w:pPr>
        <w:widowControl w:val="0"/>
        <w:numPr>
          <w:ilvl w:val="0"/>
          <w:numId w:val="2"/>
        </w:numPr>
        <w:kinsoku/>
        <w:wordWrap w:val="0"/>
        <w:autoSpaceDE/>
        <w:autoSpaceDN/>
        <w:adjustRightInd/>
        <w:snapToGrid/>
        <w:spacing w:line="578" w:lineRule="exact"/>
        <w:ind w:firstLine="640"/>
        <w:textAlignment w:val="auto"/>
        <w:rPr>
          <w:rFonts w:hint="eastAsia" w:ascii="仿宋" w:hAnsi="仿宋" w:eastAsia="仿宋" w:cs="仿宋"/>
          <w:snapToGrid/>
          <w:kern w:val="2"/>
          <w:sz w:val="32"/>
          <w:szCs w:val="32"/>
          <w:lang w:eastAsia="zh-CN"/>
        </w:rPr>
      </w:pPr>
      <w:r>
        <w:rPr>
          <w:rFonts w:hint="eastAsia" w:ascii="仿宋" w:hAnsi="仿宋" w:eastAsia="仿宋" w:cs="仿宋"/>
          <w:snapToGrid/>
          <w:kern w:val="2"/>
          <w:sz w:val="32"/>
          <w:szCs w:val="32"/>
        </w:rPr>
        <w:t>鹿邑县豫剧团</w:t>
      </w:r>
    </w:p>
    <w:p w14:paraId="4F7E953E">
      <w:pPr>
        <w:widowControl w:val="0"/>
        <w:numPr>
          <w:ilvl w:val="0"/>
          <w:numId w:val="2"/>
        </w:numPr>
        <w:kinsoku/>
        <w:wordWrap w:val="0"/>
        <w:autoSpaceDE/>
        <w:autoSpaceDN/>
        <w:adjustRightInd/>
        <w:snapToGrid/>
        <w:spacing w:line="578" w:lineRule="exact"/>
        <w:ind w:firstLine="640"/>
        <w:textAlignment w:val="auto"/>
        <w:rPr>
          <w:rFonts w:hint="eastAsia" w:ascii="仿宋" w:hAnsi="仿宋" w:eastAsia="仿宋" w:cs="仿宋"/>
          <w:snapToGrid/>
          <w:kern w:val="2"/>
          <w:sz w:val="32"/>
          <w:szCs w:val="32"/>
          <w:lang w:eastAsia="zh-CN"/>
        </w:rPr>
      </w:pPr>
      <w:r>
        <w:rPr>
          <w:rFonts w:hint="eastAsia" w:ascii="仿宋" w:hAnsi="仿宋" w:eastAsia="仿宋" w:cs="仿宋"/>
          <w:snapToGrid/>
          <w:kern w:val="2"/>
          <w:sz w:val="32"/>
          <w:szCs w:val="32"/>
        </w:rPr>
        <w:t>鹿邑县</w:t>
      </w:r>
      <w:r>
        <w:rPr>
          <w:rFonts w:hint="eastAsia" w:ascii="仿宋" w:hAnsi="仿宋" w:eastAsia="仿宋" w:cs="仿宋"/>
          <w:snapToGrid/>
          <w:kern w:val="2"/>
          <w:sz w:val="32"/>
          <w:szCs w:val="32"/>
          <w:lang w:val="en-US" w:eastAsia="zh-CN"/>
        </w:rPr>
        <w:t>文化</w:t>
      </w:r>
      <w:bookmarkStart w:id="0" w:name="_GoBack"/>
      <w:bookmarkEnd w:id="0"/>
      <w:r>
        <w:rPr>
          <w:rFonts w:hint="eastAsia" w:ascii="仿宋" w:hAnsi="仿宋" w:eastAsia="仿宋" w:cs="仿宋"/>
          <w:snapToGrid/>
          <w:kern w:val="2"/>
          <w:sz w:val="32"/>
          <w:szCs w:val="32"/>
          <w:lang w:val="en-US" w:eastAsia="zh-CN"/>
        </w:rPr>
        <w:t>市场</w:t>
      </w:r>
      <w:r>
        <w:rPr>
          <w:rFonts w:hint="eastAsia" w:ascii="仿宋" w:hAnsi="仿宋" w:eastAsia="仿宋" w:cs="仿宋"/>
          <w:snapToGrid/>
          <w:kern w:val="2"/>
          <w:sz w:val="32"/>
          <w:szCs w:val="32"/>
        </w:rPr>
        <w:t>综合</w:t>
      </w:r>
      <w:r>
        <w:rPr>
          <w:rFonts w:hint="eastAsia" w:ascii="仿宋" w:hAnsi="仿宋" w:eastAsia="仿宋" w:cs="仿宋"/>
          <w:snapToGrid/>
          <w:kern w:val="2"/>
          <w:sz w:val="32"/>
          <w:szCs w:val="32"/>
          <w:lang w:val="en-US" w:eastAsia="zh-CN"/>
        </w:rPr>
        <w:t>行政</w:t>
      </w:r>
      <w:r>
        <w:rPr>
          <w:rFonts w:hint="eastAsia" w:ascii="仿宋" w:hAnsi="仿宋" w:eastAsia="仿宋" w:cs="仿宋"/>
          <w:snapToGrid/>
          <w:kern w:val="2"/>
          <w:sz w:val="32"/>
          <w:szCs w:val="32"/>
        </w:rPr>
        <w:t>执法大队</w:t>
      </w:r>
      <w:r>
        <w:rPr>
          <w:rFonts w:hint="eastAsia" w:ascii="仿宋" w:hAnsi="仿宋" w:eastAsia="仿宋" w:cs="仿宋"/>
          <w:snapToGrid/>
          <w:kern w:val="2"/>
          <w:sz w:val="32"/>
          <w:szCs w:val="32"/>
          <w:lang w:eastAsia="zh-CN"/>
        </w:rPr>
        <w:t>。</w:t>
      </w:r>
    </w:p>
    <w:p w14:paraId="1022F65E">
      <w:pPr>
        <w:wordWrap w:val="0"/>
        <w:rPr>
          <w:rFonts w:ascii="仿宋_GB2312" w:hAnsi="Calibri" w:eastAsia="仿宋_GB2312" w:cs="Times New Roman"/>
          <w:snapToGrid/>
          <w:kern w:val="2"/>
          <w:sz w:val="32"/>
          <w:szCs w:val="32"/>
        </w:rPr>
      </w:pPr>
      <w:r>
        <w:br w:type="page"/>
      </w:r>
    </w:p>
    <w:p w14:paraId="2B49952B">
      <w:pPr>
        <w:spacing w:before="1" w:line="578" w:lineRule="atLeast"/>
        <w:jc w:val="center"/>
        <w:rPr>
          <w:rFonts w:hint="eastAsia" w:ascii="黑体" w:hAnsi="黑体" w:eastAsia="黑体" w:cs="黑体"/>
          <w:spacing w:val="19"/>
          <w:sz w:val="31"/>
          <w:szCs w:val="31"/>
          <w:lang w:eastAsia="zh-CN"/>
        </w:rPr>
      </w:pPr>
      <w:r>
        <w:rPr>
          <w:rFonts w:hint="eastAsia" w:ascii="黑体" w:hAnsi="黑体" w:eastAsia="黑体" w:cs="黑体"/>
          <w:spacing w:val="19"/>
          <w:sz w:val="31"/>
          <w:szCs w:val="31"/>
        </w:rPr>
        <w:t>第二部分</w:t>
      </w:r>
    </w:p>
    <w:p w14:paraId="03422FE3">
      <w:pPr>
        <w:spacing w:before="1" w:line="578" w:lineRule="atLeast"/>
        <w:jc w:val="center"/>
        <w:rPr>
          <w:rFonts w:ascii="黑体" w:hAnsi="黑体" w:eastAsia="黑体" w:cs="黑体"/>
          <w:spacing w:val="19"/>
          <w:sz w:val="31"/>
          <w:szCs w:val="31"/>
        </w:rPr>
      </w:pPr>
      <w:r>
        <w:rPr>
          <w:rFonts w:hint="eastAsia" w:ascii="黑体" w:hAnsi="黑体" w:eastAsia="黑体" w:cs="黑体"/>
          <w:spacing w:val="19"/>
          <w:sz w:val="31"/>
          <w:szCs w:val="31"/>
        </w:rPr>
        <w:t xml:space="preserve"> 鹿邑县文化广电和旅游局2024年部门预算情况说明</w:t>
      </w:r>
    </w:p>
    <w:p w14:paraId="26369941">
      <w:pPr>
        <w:widowControl w:val="0"/>
        <w:kinsoku/>
        <w:autoSpaceDE/>
        <w:autoSpaceDN/>
        <w:adjustRightInd/>
        <w:snapToGrid/>
        <w:spacing w:line="578" w:lineRule="exact"/>
        <w:ind w:firstLine="632" w:firstLineChars="200"/>
        <w:jc w:val="both"/>
        <w:textAlignment w:val="auto"/>
        <w:rPr>
          <w:rFonts w:ascii="黑体" w:hAnsi="宋体" w:eastAsia="黑体" w:cs="Times New Roman"/>
          <w:snapToGrid/>
          <w:spacing w:val="-2"/>
          <w:kern w:val="2"/>
          <w:sz w:val="32"/>
          <w:szCs w:val="32"/>
        </w:rPr>
      </w:pPr>
      <w:r>
        <w:rPr>
          <w:rFonts w:hint="eastAsia" w:ascii="黑体" w:hAnsi="宋体" w:eastAsia="黑体" w:cs="Times New Roman"/>
          <w:snapToGrid/>
          <w:spacing w:val="-2"/>
          <w:kern w:val="2"/>
          <w:sz w:val="32"/>
          <w:szCs w:val="32"/>
        </w:rPr>
        <w:t>一、收入支出预算总体情况说明</w:t>
      </w:r>
    </w:p>
    <w:p w14:paraId="03479D91">
      <w:pPr>
        <w:widowControl w:val="0"/>
        <w:kinsoku/>
        <w:wordWrap w:val="0"/>
        <w:autoSpaceDE/>
        <w:autoSpaceDN/>
        <w:adjustRightInd/>
        <w:snapToGrid/>
        <w:spacing w:line="578" w:lineRule="exact"/>
        <w:ind w:firstLine="641"/>
        <w:jc w:val="both"/>
        <w:textAlignment w:val="auto"/>
        <w:rPr>
          <w:rFonts w:hint="eastAsia" w:ascii="仿宋" w:hAnsi="仿宋" w:eastAsia="仿宋" w:cs="仿宋"/>
          <w:snapToGrid/>
          <w:kern w:val="2"/>
          <w:sz w:val="32"/>
          <w:szCs w:val="32"/>
        </w:rPr>
      </w:pPr>
      <w:r>
        <w:rPr>
          <w:rFonts w:hint="eastAsia" w:ascii="仿宋" w:hAnsi="仿宋" w:eastAsia="仿宋" w:cs="仿宋"/>
          <w:snapToGrid/>
          <w:kern w:val="2"/>
          <w:sz w:val="32"/>
          <w:szCs w:val="32"/>
        </w:rPr>
        <w:t>鹿邑县文化广电和旅游局2024年收入总计5012.72万元，支出总计5012.72万元，与上年相比，收、支总计各减少978.13万元，下降16.33%，主要原因：</w:t>
      </w:r>
      <w:r>
        <w:rPr>
          <w:rFonts w:hint="eastAsia" w:ascii="仿宋" w:hAnsi="仿宋" w:eastAsia="仿宋" w:cs="仿宋"/>
          <w:snapToGrid/>
          <w:kern w:val="2"/>
          <w:sz w:val="32"/>
          <w:szCs w:val="32"/>
          <w:highlight w:val="yellow"/>
          <w:lang w:val="en-US" w:eastAsia="zh-CN"/>
        </w:rPr>
        <w:t>*******</w:t>
      </w:r>
      <w:r>
        <w:rPr>
          <w:rFonts w:hint="eastAsia" w:ascii="仿宋" w:hAnsi="仿宋" w:eastAsia="仿宋" w:cs="仿宋"/>
          <w:snapToGrid/>
          <w:kern w:val="2"/>
          <w:sz w:val="32"/>
          <w:szCs w:val="32"/>
        </w:rPr>
        <w:t>。</w:t>
      </w:r>
    </w:p>
    <w:p w14:paraId="43B59F46">
      <w:pPr>
        <w:keepNext w:val="0"/>
        <w:keepLines w:val="0"/>
        <w:pageBreakBefore w:val="0"/>
        <w:widowControl w:val="0"/>
        <w:kinsoku/>
        <w:wordWrap w:val="0"/>
        <w:overflowPunct/>
        <w:topLinePunct w:val="0"/>
        <w:autoSpaceDE/>
        <w:autoSpaceDN/>
        <w:bidi w:val="0"/>
        <w:adjustRightInd/>
        <w:snapToGrid/>
        <w:spacing w:before="313" w:beforeLines="100" w:after="313" w:afterLines="100" w:line="240" w:lineRule="auto"/>
        <w:ind w:left="210" w:leftChars="100" w:firstLine="0"/>
        <w:jc w:val="center"/>
        <w:textAlignment w:val="auto"/>
        <w:rPr>
          <w:rFonts w:hint="eastAsia" w:ascii="仿宋" w:hAnsi="仿宋" w:eastAsia="仿宋" w:cs="仿宋"/>
          <w:snapToGrid/>
          <w:kern w:val="2"/>
          <w:sz w:val="32"/>
          <w:szCs w:val="32"/>
        </w:rPr>
      </w:pPr>
      <w:r>
        <w:drawing>
          <wp:inline distT="0" distB="0" distL="114300" distR="114300">
            <wp:extent cx="4826000" cy="2743200"/>
            <wp:effectExtent l="4445" t="4445" r="8255" b="825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C6B200B">
      <w:pPr>
        <w:widowControl w:val="0"/>
        <w:kinsoku/>
        <w:autoSpaceDE/>
        <w:autoSpaceDN/>
        <w:adjustRightInd/>
        <w:snapToGrid/>
        <w:spacing w:line="578" w:lineRule="exact"/>
        <w:ind w:firstLine="632" w:firstLineChars="200"/>
        <w:jc w:val="both"/>
        <w:textAlignment w:val="auto"/>
        <w:rPr>
          <w:rFonts w:ascii="黑体" w:hAnsi="宋体" w:eastAsia="黑体" w:cs="Times New Roman"/>
          <w:snapToGrid/>
          <w:spacing w:val="-2"/>
          <w:kern w:val="2"/>
          <w:sz w:val="32"/>
          <w:szCs w:val="32"/>
        </w:rPr>
      </w:pPr>
      <w:r>
        <w:rPr>
          <w:rFonts w:hint="eastAsia" w:ascii="黑体" w:hAnsi="宋体" w:eastAsia="黑体" w:cs="Times New Roman"/>
          <w:snapToGrid/>
          <w:spacing w:val="-2"/>
          <w:kern w:val="2"/>
          <w:sz w:val="32"/>
          <w:szCs w:val="32"/>
        </w:rPr>
        <w:t>二、收入预算总体情况说明</w:t>
      </w:r>
    </w:p>
    <w:p w14:paraId="59030900">
      <w:pPr>
        <w:widowControl w:val="0"/>
        <w:kinsoku/>
        <w:wordWrap w:val="0"/>
        <w:autoSpaceDE/>
        <w:autoSpaceDN/>
        <w:adjustRightInd/>
        <w:snapToGrid/>
        <w:spacing w:line="578" w:lineRule="exact"/>
        <w:ind w:firstLine="641"/>
        <w:jc w:val="both"/>
        <w:textAlignment w:val="auto"/>
        <w:rPr>
          <w:rFonts w:hint="eastAsia" w:ascii="仿宋" w:hAnsi="仿宋" w:eastAsia="仿宋" w:cs="仿宋"/>
          <w:snapToGrid/>
          <w:kern w:val="2"/>
          <w:sz w:val="32"/>
          <w:szCs w:val="32"/>
        </w:rPr>
      </w:pPr>
      <w:r>
        <w:rPr>
          <w:rFonts w:hint="eastAsia" w:ascii="仿宋" w:hAnsi="仿宋" w:eastAsia="仿宋" w:cs="仿宋"/>
          <w:snapToGrid/>
          <w:kern w:val="2"/>
          <w:sz w:val="32"/>
          <w:szCs w:val="32"/>
        </w:rPr>
        <w:t>鹿邑县文化广电和旅游局2024年收入合计5012.72万元，其中：一般公共预算2329.70万元;政府性基金0.00万元;国有资本经营预算215.00万元;财政专户管理资金收入0.00万元;事业收入0.00万元;事业单位经营收入0.00万元;其他收入0.00万元;上年结转结余2468.02万元。</w:t>
      </w:r>
      <w:r>
        <w:rPr>
          <w:rFonts w:hint="eastAsia" w:ascii="仿宋" w:hAnsi="仿宋" w:eastAsia="仿宋" w:cs="仿宋"/>
          <w:snapToGrid/>
          <w:kern w:val="2"/>
          <w:sz w:val="32"/>
          <w:szCs w:val="32"/>
        </w:rPr>
        <w:tab/>
      </w:r>
    </w:p>
    <w:p w14:paraId="13BEEDA4">
      <w:pPr>
        <w:keepNext w:val="0"/>
        <w:keepLines w:val="0"/>
        <w:pageBreakBefore w:val="0"/>
        <w:widowControl w:val="0"/>
        <w:kinsoku/>
        <w:wordWrap w:val="0"/>
        <w:overflowPunct/>
        <w:topLinePunct w:val="0"/>
        <w:autoSpaceDE/>
        <w:autoSpaceDN/>
        <w:bidi w:val="0"/>
        <w:adjustRightInd/>
        <w:snapToGrid/>
        <w:spacing w:before="313" w:beforeLines="100" w:after="313" w:afterLines="100" w:line="240" w:lineRule="auto"/>
        <w:ind w:firstLine="0"/>
        <w:jc w:val="center"/>
        <w:textAlignment w:val="auto"/>
        <w:rPr>
          <w:rFonts w:hint="eastAsia" w:ascii="仿宋" w:hAnsi="仿宋" w:eastAsia="仿宋" w:cs="仿宋"/>
          <w:snapToGrid/>
          <w:kern w:val="2"/>
          <w:sz w:val="32"/>
          <w:szCs w:val="32"/>
        </w:rPr>
      </w:pPr>
      <w:r>
        <w:drawing>
          <wp:inline distT="0" distB="0" distL="114300" distR="114300">
            <wp:extent cx="4875530" cy="3463290"/>
            <wp:effectExtent l="5080" t="4445" r="8890" b="1206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5E35AC7">
      <w:pPr>
        <w:widowControl w:val="0"/>
        <w:kinsoku/>
        <w:autoSpaceDE/>
        <w:autoSpaceDN/>
        <w:adjustRightInd/>
        <w:snapToGrid/>
        <w:spacing w:line="578" w:lineRule="exact"/>
        <w:ind w:firstLine="632" w:firstLineChars="200"/>
        <w:jc w:val="both"/>
        <w:textAlignment w:val="auto"/>
        <w:rPr>
          <w:rFonts w:ascii="黑体" w:hAnsi="宋体" w:eastAsia="黑体" w:cs="Times New Roman"/>
          <w:snapToGrid/>
          <w:spacing w:val="-2"/>
          <w:kern w:val="2"/>
          <w:sz w:val="32"/>
          <w:szCs w:val="32"/>
        </w:rPr>
      </w:pPr>
      <w:r>
        <w:rPr>
          <w:rFonts w:hint="eastAsia" w:ascii="黑体" w:hAnsi="宋体" w:eastAsia="黑体" w:cs="Times New Roman"/>
          <w:snapToGrid/>
          <w:spacing w:val="-2"/>
          <w:kern w:val="2"/>
          <w:sz w:val="32"/>
          <w:szCs w:val="32"/>
        </w:rPr>
        <w:t>三、支出预算总体情况说明</w:t>
      </w:r>
    </w:p>
    <w:p w14:paraId="73908BDA">
      <w:pPr>
        <w:widowControl w:val="0"/>
        <w:kinsoku/>
        <w:wordWrap w:val="0"/>
        <w:autoSpaceDE/>
        <w:autoSpaceDN/>
        <w:adjustRightInd/>
        <w:snapToGrid/>
        <w:spacing w:line="578" w:lineRule="exact"/>
        <w:ind w:firstLine="641"/>
        <w:jc w:val="both"/>
        <w:textAlignment w:val="auto"/>
        <w:rPr>
          <w:rFonts w:hint="eastAsia" w:ascii="仿宋" w:hAnsi="仿宋" w:eastAsia="仿宋" w:cs="仿宋"/>
          <w:snapToGrid/>
          <w:kern w:val="2"/>
          <w:sz w:val="32"/>
          <w:szCs w:val="32"/>
        </w:rPr>
      </w:pPr>
      <w:r>
        <w:rPr>
          <w:rFonts w:hint="eastAsia" w:ascii="仿宋" w:hAnsi="仿宋" w:eastAsia="仿宋" w:cs="仿宋"/>
          <w:snapToGrid/>
          <w:kern w:val="2"/>
          <w:sz w:val="32"/>
          <w:szCs w:val="32"/>
        </w:rPr>
        <w:t>鹿邑县文化广电和旅游局2024年支出合计5012.72万元，其中：基本支出1204.46万元，占24.03%；项目支出3808.26万元，占75.97%。</w:t>
      </w:r>
    </w:p>
    <w:p w14:paraId="186682E9">
      <w:pPr>
        <w:keepNext w:val="0"/>
        <w:keepLines w:val="0"/>
        <w:pageBreakBefore w:val="0"/>
        <w:widowControl w:val="0"/>
        <w:kinsoku/>
        <w:wordWrap w:val="0"/>
        <w:overflowPunct/>
        <w:topLinePunct w:val="0"/>
        <w:autoSpaceDE/>
        <w:autoSpaceDN/>
        <w:bidi w:val="0"/>
        <w:adjustRightInd/>
        <w:snapToGrid/>
        <w:spacing w:before="313" w:beforeLines="100" w:after="313" w:afterLines="100" w:line="240" w:lineRule="auto"/>
        <w:ind w:firstLine="0"/>
        <w:jc w:val="center"/>
        <w:textAlignment w:val="auto"/>
        <w:rPr>
          <w:rFonts w:hint="eastAsia" w:ascii="仿宋" w:hAnsi="仿宋" w:eastAsia="仿宋" w:cs="仿宋"/>
          <w:snapToGrid/>
          <w:kern w:val="2"/>
          <w:sz w:val="32"/>
          <w:szCs w:val="32"/>
        </w:rPr>
      </w:pPr>
      <w:r>
        <w:drawing>
          <wp:inline distT="0" distB="0" distL="114300" distR="114300">
            <wp:extent cx="4826000" cy="3333750"/>
            <wp:effectExtent l="4445" t="4445" r="8255" b="1460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02A9A4D">
      <w:pPr>
        <w:widowControl w:val="0"/>
        <w:kinsoku/>
        <w:autoSpaceDE/>
        <w:autoSpaceDN/>
        <w:adjustRightInd/>
        <w:snapToGrid/>
        <w:spacing w:line="578" w:lineRule="exact"/>
        <w:ind w:firstLine="632" w:firstLineChars="200"/>
        <w:jc w:val="both"/>
        <w:textAlignment w:val="auto"/>
        <w:rPr>
          <w:rFonts w:ascii="黑体" w:hAnsi="宋体" w:eastAsia="黑体" w:cs="Times New Roman"/>
          <w:snapToGrid/>
          <w:spacing w:val="-2"/>
          <w:kern w:val="2"/>
          <w:sz w:val="32"/>
          <w:szCs w:val="32"/>
        </w:rPr>
      </w:pPr>
      <w:r>
        <w:rPr>
          <w:rFonts w:hint="eastAsia" w:ascii="黑体" w:hAnsi="宋体" w:eastAsia="黑体" w:cs="Times New Roman"/>
          <w:snapToGrid/>
          <w:spacing w:val="-2"/>
          <w:kern w:val="2"/>
          <w:sz w:val="32"/>
          <w:szCs w:val="32"/>
        </w:rPr>
        <w:t>四、财政拨款收入支出预算总体情况说明</w:t>
      </w:r>
    </w:p>
    <w:p w14:paraId="5FAC3E2E">
      <w:pPr>
        <w:widowControl w:val="0"/>
        <w:kinsoku/>
        <w:wordWrap w:val="0"/>
        <w:autoSpaceDE/>
        <w:autoSpaceDN/>
        <w:adjustRightInd/>
        <w:snapToGrid/>
        <w:spacing w:line="578" w:lineRule="exact"/>
        <w:ind w:firstLine="641"/>
        <w:jc w:val="both"/>
        <w:textAlignment w:val="auto"/>
        <w:rPr>
          <w:rFonts w:hint="eastAsia" w:ascii="仿宋" w:hAnsi="仿宋" w:eastAsia="仿宋" w:cs="仿宋"/>
          <w:snapToGrid/>
          <w:kern w:val="2"/>
          <w:sz w:val="32"/>
          <w:szCs w:val="32"/>
        </w:rPr>
      </w:pPr>
      <w:r>
        <w:rPr>
          <w:rFonts w:hint="eastAsia" w:ascii="仿宋" w:hAnsi="仿宋" w:eastAsia="仿宋" w:cs="仿宋"/>
          <w:snapToGrid/>
          <w:kern w:val="2"/>
          <w:sz w:val="32"/>
          <w:szCs w:val="32"/>
        </w:rPr>
        <w:t>鹿邑县文化广电和旅游局2024年一般公共预算收支预算</w:t>
      </w:r>
      <w:r>
        <w:rPr>
          <w:rFonts w:hint="eastAsia" w:ascii="仿宋" w:hAnsi="仿宋" w:eastAsia="仿宋" w:cs="仿宋"/>
          <w:snapToGrid/>
          <w:kern w:val="2"/>
          <w:sz w:val="32"/>
          <w:szCs w:val="32"/>
          <w:lang w:val="en-US" w:eastAsia="zh-CN"/>
        </w:rPr>
        <w:t>4797.72</w:t>
      </w:r>
      <w:r>
        <w:rPr>
          <w:rFonts w:hint="eastAsia" w:ascii="仿宋" w:hAnsi="仿宋" w:eastAsia="仿宋" w:cs="仿宋"/>
          <w:snapToGrid/>
          <w:kern w:val="2"/>
          <w:sz w:val="32"/>
          <w:szCs w:val="32"/>
        </w:rPr>
        <w:t>万元，政府性基金收支预算0.00万元</w:t>
      </w:r>
      <w:r>
        <w:rPr>
          <w:rFonts w:hint="eastAsia" w:ascii="仿宋" w:hAnsi="仿宋" w:eastAsia="仿宋" w:cs="仿宋"/>
          <w:snapToGrid/>
          <w:kern w:val="2"/>
          <w:sz w:val="32"/>
          <w:szCs w:val="32"/>
          <w:lang w:eastAsia="zh-CN"/>
        </w:rPr>
        <w:t>，</w:t>
      </w:r>
      <w:r>
        <w:rPr>
          <w:rFonts w:hint="eastAsia" w:ascii="仿宋" w:hAnsi="仿宋" w:eastAsia="仿宋" w:cs="仿宋"/>
          <w:snapToGrid/>
          <w:color w:val="000000"/>
          <w:kern w:val="2"/>
          <w:sz w:val="32"/>
          <w:szCs w:val="32"/>
          <w:lang w:val="en-US" w:eastAsia="zh-CN" w:bidi="ar-SA"/>
        </w:rPr>
        <w:t>国有资本经营预算收支预算215.00万元。与上年相比，一般公共预算收支预算减少1193.13万元，下降19.92%，主要原因是：</w:t>
      </w:r>
      <w:r>
        <w:rPr>
          <w:rFonts w:hint="eastAsia" w:ascii="仿宋" w:hAnsi="仿宋" w:eastAsia="仿宋" w:cs="仿宋"/>
          <w:snapToGrid/>
          <w:color w:val="000000"/>
          <w:kern w:val="2"/>
          <w:sz w:val="32"/>
          <w:szCs w:val="32"/>
          <w:highlight w:val="yellow"/>
          <w:lang w:val="en-US" w:eastAsia="zh-CN" w:bidi="ar-SA"/>
        </w:rPr>
        <w:t>*******</w:t>
      </w:r>
      <w:r>
        <w:rPr>
          <w:rFonts w:hint="eastAsia" w:ascii="仿宋" w:hAnsi="仿宋" w:eastAsia="仿宋" w:cs="仿宋"/>
          <w:snapToGrid/>
          <w:color w:val="000000"/>
          <w:kern w:val="2"/>
          <w:sz w:val="32"/>
          <w:szCs w:val="32"/>
          <w:lang w:val="en-US" w:eastAsia="zh-CN" w:bidi="ar-SA"/>
        </w:rPr>
        <w:t>；政府性基金收支预算持平，主要原因是：2024年无政府性基金收支预算；国有资本经营预算收支预算增加215.00万元，增长100.00%，主要原因是：</w:t>
      </w:r>
      <w:r>
        <w:rPr>
          <w:rFonts w:hint="eastAsia" w:ascii="仿宋" w:hAnsi="仿宋" w:eastAsia="仿宋" w:cs="仿宋"/>
          <w:snapToGrid/>
          <w:color w:val="000000"/>
          <w:kern w:val="2"/>
          <w:sz w:val="32"/>
          <w:szCs w:val="32"/>
          <w:highlight w:val="yellow"/>
          <w:lang w:val="en-US" w:eastAsia="zh-CN" w:bidi="ar-SA"/>
        </w:rPr>
        <w:t>*******</w:t>
      </w:r>
      <w:r>
        <w:rPr>
          <w:rFonts w:hint="eastAsia" w:ascii="仿宋" w:hAnsi="仿宋" w:eastAsia="仿宋" w:cs="仿宋"/>
          <w:snapToGrid/>
          <w:kern w:val="2"/>
          <w:sz w:val="32"/>
          <w:szCs w:val="32"/>
        </w:rPr>
        <w:t>。</w:t>
      </w:r>
    </w:p>
    <w:p w14:paraId="5C3AC908">
      <w:pPr>
        <w:keepNext w:val="0"/>
        <w:keepLines w:val="0"/>
        <w:pageBreakBefore w:val="0"/>
        <w:widowControl w:val="0"/>
        <w:kinsoku/>
        <w:wordWrap w:val="0"/>
        <w:overflowPunct/>
        <w:topLinePunct w:val="0"/>
        <w:autoSpaceDE/>
        <w:autoSpaceDN/>
        <w:bidi w:val="0"/>
        <w:adjustRightInd/>
        <w:snapToGrid/>
        <w:spacing w:before="313" w:beforeLines="100" w:after="313" w:afterLines="100" w:line="240" w:lineRule="auto"/>
        <w:ind w:firstLine="0"/>
        <w:jc w:val="center"/>
        <w:textAlignment w:val="auto"/>
      </w:pPr>
      <w:r>
        <w:drawing>
          <wp:inline distT="0" distB="0" distL="114300" distR="114300">
            <wp:extent cx="4826000" cy="2743200"/>
            <wp:effectExtent l="4445" t="4445" r="8255" b="8255"/>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BE97A24">
      <w:pPr>
        <w:widowControl w:val="0"/>
        <w:kinsoku/>
        <w:autoSpaceDE/>
        <w:autoSpaceDN/>
        <w:adjustRightInd/>
        <w:snapToGrid/>
        <w:spacing w:line="578" w:lineRule="exact"/>
        <w:ind w:firstLine="632" w:firstLineChars="200"/>
        <w:jc w:val="both"/>
        <w:textAlignment w:val="auto"/>
        <w:rPr>
          <w:rFonts w:ascii="黑体" w:hAnsi="宋体" w:eastAsia="黑体" w:cs="Times New Roman"/>
          <w:snapToGrid/>
          <w:spacing w:val="-2"/>
          <w:kern w:val="2"/>
          <w:sz w:val="32"/>
          <w:szCs w:val="32"/>
        </w:rPr>
      </w:pPr>
      <w:r>
        <w:rPr>
          <w:rFonts w:hint="eastAsia" w:ascii="黑体" w:hAnsi="宋体" w:eastAsia="黑体" w:cs="Times New Roman"/>
          <w:snapToGrid/>
          <w:spacing w:val="-2"/>
          <w:kern w:val="2"/>
          <w:sz w:val="32"/>
          <w:szCs w:val="32"/>
        </w:rPr>
        <w:t>五、一般公共预算支出预算情况说明</w:t>
      </w:r>
    </w:p>
    <w:p w14:paraId="587C5DE9">
      <w:pPr>
        <w:widowControl w:val="0"/>
        <w:kinsoku/>
        <w:wordWrap w:val="0"/>
        <w:autoSpaceDE/>
        <w:autoSpaceDN/>
        <w:adjustRightInd/>
        <w:snapToGrid/>
        <w:spacing w:line="578" w:lineRule="exact"/>
        <w:ind w:firstLine="641"/>
        <w:jc w:val="both"/>
        <w:textAlignment w:val="auto"/>
        <w:rPr>
          <w:rFonts w:hint="eastAsia" w:ascii="仿宋" w:hAnsi="仿宋" w:eastAsia="仿宋" w:cs="仿宋"/>
          <w:snapToGrid/>
          <w:kern w:val="2"/>
          <w:sz w:val="32"/>
          <w:szCs w:val="32"/>
        </w:rPr>
      </w:pPr>
      <w:r>
        <w:rPr>
          <w:rFonts w:hint="eastAsia" w:ascii="仿宋" w:hAnsi="仿宋" w:eastAsia="仿宋" w:cs="仿宋"/>
          <w:snapToGrid/>
          <w:kern w:val="2"/>
          <w:sz w:val="32"/>
          <w:szCs w:val="32"/>
        </w:rPr>
        <w:t>鹿邑县文化广电和旅游局2024年一般公共预算支出年初预算为2329.70万元。其中基本支出1204.46万元，占51.70%；项目支出1125.24万元，占48.30%。主要用于以下方面：</w:t>
      </w:r>
    </w:p>
    <w:p w14:paraId="282B0F69">
      <w:pPr>
        <w:widowControl w:val="0"/>
        <w:numPr>
          <w:ilvl w:val="0"/>
          <w:numId w:val="3"/>
        </w:numPr>
        <w:kinsoku/>
        <w:wordWrap w:val="0"/>
        <w:autoSpaceDE/>
        <w:autoSpaceDN/>
        <w:adjustRightInd/>
        <w:snapToGrid/>
        <w:spacing w:line="578" w:lineRule="exact"/>
        <w:ind w:firstLine="641"/>
        <w:jc w:val="both"/>
        <w:textAlignment w:val="auto"/>
        <w:rPr>
          <w:rFonts w:hint="eastAsia" w:ascii="仿宋" w:hAnsi="仿宋" w:eastAsia="仿宋" w:cs="仿宋"/>
          <w:snapToGrid/>
          <w:kern w:val="2"/>
          <w:sz w:val="32"/>
          <w:szCs w:val="32"/>
        </w:rPr>
      </w:pPr>
      <w:r>
        <w:rPr>
          <w:rFonts w:hint="eastAsia" w:ascii="仿宋" w:hAnsi="仿宋" w:eastAsia="仿宋" w:cs="仿宋"/>
          <w:snapToGrid/>
          <w:kern w:val="2"/>
          <w:sz w:val="32"/>
          <w:szCs w:val="32"/>
        </w:rPr>
        <w:t>文化体育旅游与传媒支出</w:t>
      </w:r>
      <w:r>
        <w:rPr>
          <w:rFonts w:hint="eastAsia" w:ascii="仿宋" w:hAnsi="仿宋" w:eastAsia="仿宋" w:cs="仿宋"/>
          <w:snapToGrid/>
          <w:kern w:val="2"/>
          <w:sz w:val="32"/>
          <w:szCs w:val="32"/>
          <w:lang w:val="en-US" w:eastAsia="zh-CN"/>
        </w:rPr>
        <w:t>2001.54</w:t>
      </w:r>
      <w:r>
        <w:rPr>
          <w:rFonts w:hint="eastAsia" w:ascii="仿宋" w:hAnsi="仿宋" w:eastAsia="仿宋" w:cs="仿宋"/>
          <w:snapToGrid/>
          <w:kern w:val="2"/>
          <w:sz w:val="32"/>
          <w:szCs w:val="32"/>
        </w:rPr>
        <w:t>万元，占</w:t>
      </w:r>
      <w:r>
        <w:rPr>
          <w:rFonts w:hint="eastAsia" w:ascii="仿宋" w:hAnsi="仿宋" w:eastAsia="仿宋" w:cs="仿宋"/>
          <w:snapToGrid/>
          <w:kern w:val="2"/>
          <w:sz w:val="32"/>
          <w:szCs w:val="32"/>
          <w:lang w:val="en-US" w:eastAsia="zh-CN"/>
        </w:rPr>
        <w:t>85.92</w:t>
      </w:r>
      <w:r>
        <w:rPr>
          <w:rFonts w:hint="eastAsia" w:ascii="仿宋" w:hAnsi="仿宋" w:eastAsia="仿宋" w:cs="仿宋"/>
          <w:snapToGrid/>
          <w:kern w:val="2"/>
          <w:sz w:val="32"/>
          <w:szCs w:val="32"/>
        </w:rPr>
        <w:t>%</w:t>
      </w:r>
      <w:r>
        <w:rPr>
          <w:rFonts w:hint="eastAsia" w:ascii="仿宋" w:hAnsi="仿宋" w:eastAsia="仿宋" w:cs="仿宋"/>
          <w:snapToGrid/>
          <w:kern w:val="2"/>
          <w:sz w:val="32"/>
          <w:szCs w:val="32"/>
          <w:lang w:eastAsia="zh-CN"/>
        </w:rPr>
        <w:t>。</w:t>
      </w:r>
      <w:r>
        <w:rPr>
          <w:rFonts w:hint="eastAsia" w:ascii="仿宋" w:hAnsi="仿宋" w:eastAsia="仿宋" w:cs="仿宋"/>
          <w:snapToGrid/>
          <w:kern w:val="2"/>
          <w:sz w:val="32"/>
          <w:szCs w:val="32"/>
          <w:lang w:val="en-US" w:eastAsia="zh-CN"/>
        </w:rPr>
        <w:t>其中：文化和旅游（款）行政运行（项）支出556.64万元；文化和旅游（款）一般行政管理事务（项）支出598.80万元；文化和旅游（款）图书馆（项）支出174.00万元；文化和旅游（款）其他文化和旅游支出（项）支出473.20万元；文物（款）文物保护（项）支出50.00万元；文物（款）博物馆（项）支出118.90万元;新闻出版电影（款）电影（项）支出30.00万元。</w:t>
      </w:r>
    </w:p>
    <w:p w14:paraId="30695FD7">
      <w:pPr>
        <w:widowControl w:val="0"/>
        <w:numPr>
          <w:ilvl w:val="0"/>
          <w:numId w:val="3"/>
        </w:numPr>
        <w:kinsoku/>
        <w:wordWrap w:val="0"/>
        <w:autoSpaceDE/>
        <w:autoSpaceDN/>
        <w:adjustRightInd/>
        <w:snapToGrid/>
        <w:spacing w:line="578" w:lineRule="exact"/>
        <w:ind w:firstLine="641"/>
        <w:jc w:val="both"/>
        <w:textAlignment w:val="auto"/>
        <w:rPr>
          <w:rFonts w:hint="eastAsia" w:ascii="仿宋" w:hAnsi="仿宋" w:eastAsia="仿宋" w:cs="仿宋"/>
          <w:snapToGrid/>
          <w:kern w:val="2"/>
          <w:sz w:val="32"/>
          <w:szCs w:val="32"/>
        </w:rPr>
      </w:pPr>
      <w:r>
        <w:rPr>
          <w:rFonts w:hint="eastAsia" w:ascii="仿宋" w:hAnsi="仿宋" w:eastAsia="仿宋" w:cs="仿宋"/>
          <w:snapToGrid/>
          <w:kern w:val="2"/>
          <w:sz w:val="32"/>
          <w:szCs w:val="32"/>
        </w:rPr>
        <w:t>社会保障和就业支出</w:t>
      </w:r>
      <w:r>
        <w:rPr>
          <w:rFonts w:hint="eastAsia" w:ascii="仿宋" w:hAnsi="仿宋" w:eastAsia="仿宋" w:cs="仿宋"/>
          <w:snapToGrid/>
          <w:kern w:val="2"/>
          <w:sz w:val="32"/>
          <w:szCs w:val="32"/>
          <w:lang w:val="en-US" w:eastAsia="zh-CN"/>
        </w:rPr>
        <w:t>153.98</w:t>
      </w:r>
      <w:r>
        <w:rPr>
          <w:rFonts w:hint="eastAsia" w:ascii="仿宋" w:hAnsi="仿宋" w:eastAsia="仿宋" w:cs="仿宋"/>
          <w:snapToGrid/>
          <w:kern w:val="2"/>
          <w:sz w:val="32"/>
          <w:szCs w:val="32"/>
        </w:rPr>
        <w:t>万元，占</w:t>
      </w:r>
      <w:r>
        <w:rPr>
          <w:rFonts w:hint="eastAsia" w:ascii="仿宋" w:hAnsi="仿宋" w:eastAsia="仿宋" w:cs="仿宋"/>
          <w:snapToGrid/>
          <w:kern w:val="2"/>
          <w:sz w:val="32"/>
          <w:szCs w:val="32"/>
          <w:lang w:val="en-US" w:eastAsia="zh-CN"/>
        </w:rPr>
        <w:t>6.61</w:t>
      </w:r>
      <w:r>
        <w:rPr>
          <w:rFonts w:hint="eastAsia" w:ascii="仿宋" w:hAnsi="仿宋" w:eastAsia="仿宋" w:cs="仿宋"/>
          <w:snapToGrid/>
          <w:kern w:val="2"/>
          <w:sz w:val="32"/>
          <w:szCs w:val="32"/>
        </w:rPr>
        <w:t>%</w:t>
      </w:r>
      <w:r>
        <w:rPr>
          <w:rFonts w:hint="eastAsia" w:ascii="仿宋" w:hAnsi="仿宋" w:eastAsia="仿宋" w:cs="仿宋"/>
          <w:snapToGrid/>
          <w:kern w:val="2"/>
          <w:sz w:val="32"/>
          <w:szCs w:val="32"/>
          <w:lang w:eastAsia="zh-CN"/>
        </w:rPr>
        <w:t>。</w:t>
      </w:r>
      <w:r>
        <w:rPr>
          <w:rFonts w:hint="eastAsia" w:ascii="仿宋" w:hAnsi="仿宋" w:eastAsia="仿宋" w:cs="仿宋"/>
          <w:snapToGrid/>
          <w:kern w:val="2"/>
          <w:sz w:val="32"/>
          <w:szCs w:val="32"/>
          <w:lang w:val="en-US" w:eastAsia="zh-CN"/>
        </w:rPr>
        <w:t>其中：行政事业单位养老支出（款）机关事业单位基本养老保险缴费支出（项）支出124.83万元；其他社会保障和就业支出（款）其他社会保障和就业支出（项）支出81.16万元。</w:t>
      </w:r>
    </w:p>
    <w:p w14:paraId="2C113278">
      <w:pPr>
        <w:widowControl w:val="0"/>
        <w:numPr>
          <w:ilvl w:val="0"/>
          <w:numId w:val="0"/>
        </w:numPr>
        <w:kinsoku/>
        <w:wordWrap w:val="0"/>
        <w:autoSpaceDE/>
        <w:autoSpaceDN/>
        <w:adjustRightInd/>
        <w:snapToGrid/>
        <w:spacing w:line="578" w:lineRule="exact"/>
        <w:ind w:firstLine="640" w:firstLineChars="200"/>
        <w:jc w:val="both"/>
        <w:textAlignment w:val="auto"/>
        <w:rPr>
          <w:rFonts w:ascii="仿宋" w:hAnsi="仿宋" w:eastAsia="仿宋" w:cs="仿宋"/>
          <w:sz w:val="32"/>
          <w:szCs w:val="32"/>
        </w:rPr>
      </w:pPr>
      <w:r>
        <w:rPr>
          <w:rFonts w:hint="eastAsia" w:ascii="仿宋" w:hAnsi="仿宋" w:eastAsia="仿宋" w:cs="仿宋"/>
          <w:snapToGrid/>
          <w:kern w:val="2"/>
          <w:sz w:val="32"/>
          <w:szCs w:val="32"/>
          <w:lang w:val="en-US" w:eastAsia="zh-CN"/>
        </w:rPr>
        <w:t>3、</w:t>
      </w:r>
      <w:r>
        <w:rPr>
          <w:rFonts w:hint="eastAsia" w:ascii="仿宋" w:hAnsi="仿宋" w:eastAsia="仿宋" w:cs="仿宋"/>
          <w:snapToGrid/>
          <w:kern w:val="2"/>
          <w:sz w:val="32"/>
          <w:szCs w:val="32"/>
        </w:rPr>
        <w:t>卫生健康支出87.48万元，占3.75%</w:t>
      </w:r>
      <w:r>
        <w:rPr>
          <w:rFonts w:hint="eastAsia" w:ascii="仿宋" w:hAnsi="仿宋" w:eastAsia="仿宋" w:cs="仿宋"/>
          <w:snapToGrid/>
          <w:kern w:val="2"/>
          <w:sz w:val="32"/>
          <w:szCs w:val="32"/>
          <w:lang w:eastAsia="zh-CN"/>
        </w:rPr>
        <w:t>。</w:t>
      </w:r>
      <w:r>
        <w:rPr>
          <w:rFonts w:hint="eastAsia" w:ascii="仿宋" w:hAnsi="仿宋" w:eastAsia="仿宋" w:cs="仿宋"/>
          <w:snapToGrid/>
          <w:kern w:val="2"/>
          <w:sz w:val="32"/>
          <w:szCs w:val="32"/>
        </w:rPr>
        <w:t>其中：行政事业单位医疗（款）行政单位医疗（项）支出13.47万元；行政事业单位医疗（款）事业单位医疗（项）支出36.77万元；行政事业单位医疗（款）其他行政事业单位医疗</w:t>
      </w:r>
      <w:r>
        <w:rPr>
          <w:rFonts w:hint="eastAsia" w:ascii="仿宋" w:hAnsi="仿宋" w:eastAsia="仿宋" w:cs="仿宋"/>
          <w:snapToGrid/>
          <w:kern w:val="2"/>
          <w:sz w:val="32"/>
          <w:szCs w:val="32"/>
          <w:lang w:val="en-US" w:eastAsia="zh-CN"/>
        </w:rPr>
        <w:t>支出</w:t>
      </w:r>
      <w:r>
        <w:rPr>
          <w:rFonts w:hint="eastAsia" w:ascii="仿宋" w:hAnsi="仿宋" w:eastAsia="仿宋" w:cs="仿宋"/>
          <w:snapToGrid/>
          <w:kern w:val="2"/>
          <w:sz w:val="32"/>
          <w:szCs w:val="32"/>
        </w:rPr>
        <w:t>（项）支出37.24万元。</w:t>
      </w:r>
    </w:p>
    <w:p w14:paraId="607DB32F">
      <w:pPr>
        <w:widowControl w:val="0"/>
        <w:numPr>
          <w:ilvl w:val="0"/>
          <w:numId w:val="0"/>
        </w:numPr>
        <w:kinsoku/>
        <w:wordWrap w:val="0"/>
        <w:autoSpaceDE/>
        <w:autoSpaceDN/>
        <w:adjustRightInd/>
        <w:snapToGrid/>
        <w:spacing w:line="578" w:lineRule="exact"/>
        <w:ind w:firstLine="640" w:firstLineChars="200"/>
        <w:jc w:val="both"/>
        <w:textAlignment w:val="auto"/>
        <w:rPr>
          <w:rFonts w:hint="eastAsia" w:ascii="仿宋" w:hAnsi="仿宋" w:eastAsia="仿宋" w:cs="仿宋"/>
          <w:snapToGrid/>
          <w:kern w:val="2"/>
          <w:sz w:val="32"/>
          <w:szCs w:val="32"/>
          <w:lang w:eastAsia="zh-CN"/>
        </w:rPr>
      </w:pPr>
      <w:r>
        <w:rPr>
          <w:rFonts w:hint="eastAsia" w:ascii="仿宋" w:hAnsi="仿宋" w:eastAsia="仿宋" w:cs="仿宋"/>
          <w:snapToGrid/>
          <w:kern w:val="2"/>
          <w:sz w:val="32"/>
          <w:szCs w:val="32"/>
          <w:lang w:val="en-US" w:eastAsia="zh-CN"/>
        </w:rPr>
        <w:t>4、</w:t>
      </w:r>
      <w:r>
        <w:rPr>
          <w:rFonts w:hint="eastAsia" w:ascii="仿宋" w:hAnsi="仿宋" w:eastAsia="仿宋" w:cs="仿宋"/>
          <w:snapToGrid/>
          <w:kern w:val="2"/>
          <w:sz w:val="32"/>
          <w:szCs w:val="32"/>
        </w:rPr>
        <w:t>住房保障支出86.70万元，占3.72%。其中：住房改革支出（款）住房公积金（项）支出86.70万元</w:t>
      </w:r>
      <w:r>
        <w:rPr>
          <w:rFonts w:hint="eastAsia" w:ascii="仿宋" w:hAnsi="仿宋" w:eastAsia="仿宋" w:cs="仿宋"/>
          <w:snapToGrid/>
          <w:kern w:val="2"/>
          <w:sz w:val="32"/>
          <w:szCs w:val="32"/>
          <w:lang w:eastAsia="zh-CN"/>
        </w:rPr>
        <w:t>。</w:t>
      </w:r>
    </w:p>
    <w:p w14:paraId="3192587E">
      <w:pPr>
        <w:keepNext w:val="0"/>
        <w:keepLines w:val="0"/>
        <w:pageBreakBefore w:val="0"/>
        <w:widowControl w:val="0"/>
        <w:numPr>
          <w:ilvl w:val="0"/>
          <w:numId w:val="0"/>
        </w:numPr>
        <w:kinsoku/>
        <w:wordWrap w:val="0"/>
        <w:overflowPunct/>
        <w:topLinePunct w:val="0"/>
        <w:autoSpaceDE/>
        <w:autoSpaceDN/>
        <w:bidi w:val="0"/>
        <w:adjustRightInd/>
        <w:snapToGrid/>
        <w:spacing w:before="313" w:beforeLines="100" w:after="313" w:afterLines="100" w:line="240" w:lineRule="auto"/>
        <w:ind w:firstLine="0" w:firstLineChars="0"/>
        <w:jc w:val="center"/>
        <w:textAlignment w:val="auto"/>
        <w:rPr>
          <w:rFonts w:hint="eastAsia" w:ascii="仿宋" w:hAnsi="仿宋" w:eastAsia="仿宋" w:cs="仿宋"/>
          <w:snapToGrid/>
          <w:kern w:val="2"/>
          <w:sz w:val="32"/>
          <w:szCs w:val="32"/>
          <w:lang w:eastAsia="zh-CN"/>
        </w:rPr>
      </w:pPr>
      <w:r>
        <w:drawing>
          <wp:inline distT="0" distB="0" distL="114300" distR="114300">
            <wp:extent cx="4813300" cy="3122295"/>
            <wp:effectExtent l="5080" t="5080" r="7620" b="9525"/>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2BC87A2">
      <w:pPr>
        <w:widowControl w:val="0"/>
        <w:kinsoku/>
        <w:autoSpaceDE/>
        <w:autoSpaceDN/>
        <w:adjustRightInd/>
        <w:snapToGrid/>
        <w:spacing w:line="578" w:lineRule="exact"/>
        <w:ind w:firstLine="632" w:firstLineChars="200"/>
        <w:jc w:val="both"/>
        <w:textAlignment w:val="auto"/>
        <w:rPr>
          <w:rFonts w:ascii="黑体" w:hAnsi="宋体" w:eastAsia="黑体" w:cs="Times New Roman"/>
          <w:snapToGrid/>
          <w:spacing w:val="-2"/>
          <w:kern w:val="2"/>
          <w:sz w:val="32"/>
          <w:szCs w:val="32"/>
        </w:rPr>
      </w:pPr>
      <w:r>
        <w:rPr>
          <w:rFonts w:hint="eastAsia" w:ascii="黑体" w:hAnsi="宋体" w:eastAsia="黑体" w:cs="Times New Roman"/>
          <w:snapToGrid/>
          <w:spacing w:val="-2"/>
          <w:kern w:val="2"/>
          <w:sz w:val="32"/>
          <w:szCs w:val="32"/>
        </w:rPr>
        <w:t>六、一般公共预算基本支出预算情况说明</w:t>
      </w:r>
    </w:p>
    <w:p w14:paraId="7408547E">
      <w:pPr>
        <w:widowControl w:val="0"/>
        <w:kinsoku/>
        <w:wordWrap w:val="0"/>
        <w:autoSpaceDE/>
        <w:autoSpaceDN/>
        <w:adjustRightInd/>
        <w:snapToGrid/>
        <w:spacing w:line="578" w:lineRule="exact"/>
        <w:ind w:firstLine="641"/>
        <w:jc w:val="both"/>
        <w:textAlignment w:val="auto"/>
        <w:rPr>
          <w:rFonts w:hint="eastAsia" w:ascii="仿宋" w:hAnsi="仿宋" w:eastAsia="仿宋" w:cs="仿宋"/>
          <w:snapToGrid/>
          <w:kern w:val="2"/>
          <w:sz w:val="32"/>
          <w:szCs w:val="32"/>
        </w:rPr>
      </w:pPr>
      <w:r>
        <w:rPr>
          <w:rFonts w:hint="eastAsia" w:ascii="仿宋" w:hAnsi="仿宋" w:eastAsia="仿宋" w:cs="仿宋"/>
          <w:snapToGrid/>
          <w:kern w:val="2"/>
          <w:sz w:val="32"/>
          <w:szCs w:val="32"/>
        </w:rPr>
        <w:t>鹿邑县文化广电和旅游局2024年一般公共预算基本支出年初预算为1204.46万元，其中：人员经费支出1163.87万元，占96.63%；公用经费支出40.59万元，占3.37%。</w:t>
      </w:r>
    </w:p>
    <w:p w14:paraId="4EB80894">
      <w:pPr>
        <w:keepNext w:val="0"/>
        <w:keepLines w:val="0"/>
        <w:pageBreakBefore w:val="0"/>
        <w:widowControl w:val="0"/>
        <w:kinsoku/>
        <w:wordWrap w:val="0"/>
        <w:overflowPunct/>
        <w:topLinePunct w:val="0"/>
        <w:autoSpaceDE/>
        <w:autoSpaceDN/>
        <w:bidi w:val="0"/>
        <w:adjustRightInd/>
        <w:snapToGrid/>
        <w:spacing w:before="313" w:beforeLines="100" w:after="313" w:afterLines="100" w:line="240" w:lineRule="auto"/>
        <w:ind w:firstLine="0"/>
        <w:jc w:val="center"/>
        <w:textAlignment w:val="auto"/>
        <w:rPr>
          <w:rFonts w:hint="eastAsia" w:ascii="仿宋" w:hAnsi="仿宋" w:eastAsia="仿宋" w:cs="仿宋"/>
          <w:snapToGrid/>
          <w:kern w:val="2"/>
          <w:sz w:val="32"/>
          <w:szCs w:val="32"/>
        </w:rPr>
      </w:pPr>
      <w:r>
        <w:drawing>
          <wp:inline distT="0" distB="0" distL="114300" distR="114300">
            <wp:extent cx="4826000" cy="3117850"/>
            <wp:effectExtent l="4445" t="4445" r="8255" b="14605"/>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29900C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七、一般公共预算基本支出明细说明</w:t>
      </w:r>
    </w:p>
    <w:p w14:paraId="24387F63">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鹿邑县文化广电和旅游局2024年一般公共预算基本支出年初预算为1204.46万元，其中</w:t>
      </w:r>
      <w:r>
        <w:rPr>
          <w:rFonts w:hint="eastAsia" w:ascii="仿宋" w:hAnsi="仿宋" w:eastAsia="仿宋" w:cs="仿宋"/>
          <w:b/>
          <w:bCs/>
          <w:snapToGrid/>
          <w:kern w:val="2"/>
          <w:sz w:val="32"/>
          <w:szCs w:val="32"/>
          <w:highlight w:val="none"/>
          <w:lang w:val="en-US" w:eastAsia="zh-CN" w:bidi="ar-SA"/>
        </w:rPr>
        <w:t>：人员经费</w:t>
      </w:r>
      <w:r>
        <w:rPr>
          <w:rFonts w:hint="eastAsia" w:ascii="仿宋" w:hAnsi="仿宋" w:eastAsia="仿宋" w:cs="仿宋"/>
          <w:snapToGrid/>
          <w:kern w:val="2"/>
          <w:sz w:val="32"/>
          <w:szCs w:val="32"/>
          <w:highlight w:val="none"/>
          <w:lang w:val="en-US" w:eastAsia="zh-CN" w:bidi="ar-SA"/>
        </w:rPr>
        <w:t>支出1163.87万元，占96.63%；主要包括：基本工资584.08万元、津贴补贴80.34万元、奖金20.38万元、绩效工资114.20万元、机关事业单位基本养老保险缴费124.83万元、医疗保险缴费50.24万元、其他社会保障缴费52.78万元、住房公积金86.70万元、离休费9.00万元、退休费27.71万元、其他对个人和家庭的补助支出13.61万元。</w:t>
      </w:r>
      <w:r>
        <w:rPr>
          <w:rFonts w:hint="eastAsia" w:ascii="仿宋" w:hAnsi="仿宋" w:eastAsia="仿宋" w:cs="仿宋"/>
          <w:b/>
          <w:bCs/>
          <w:snapToGrid/>
          <w:kern w:val="2"/>
          <w:sz w:val="32"/>
          <w:szCs w:val="32"/>
          <w:highlight w:val="none"/>
          <w:lang w:val="en-US" w:eastAsia="zh-CN" w:bidi="ar-SA"/>
        </w:rPr>
        <w:t>公用经费</w:t>
      </w:r>
      <w:r>
        <w:rPr>
          <w:rFonts w:hint="eastAsia" w:ascii="仿宋" w:hAnsi="仿宋" w:eastAsia="仿宋" w:cs="仿宋"/>
          <w:snapToGrid/>
          <w:kern w:val="2"/>
          <w:sz w:val="32"/>
          <w:szCs w:val="32"/>
          <w:highlight w:val="none"/>
          <w:lang w:val="en-US" w:eastAsia="zh-CN" w:bidi="ar-SA"/>
        </w:rPr>
        <w:t>支出40.59万元，占3.37%。主要包括：办公费5.00万元、印刷费4.92万元、水费1.00万元、电费1.00万元、差旅费3.00万元、公务接待费0.20万元、公务用车运行维护费3.00万元、其他交通费用22.32万元、其他商品和服务支出0.15万元。</w:t>
      </w:r>
    </w:p>
    <w:p w14:paraId="728FFCF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八、行政（事业）单位机构运转经费情况说明</w:t>
      </w:r>
    </w:p>
    <w:p w14:paraId="1A5567C7">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文化广电和旅游局2024年单位机构运行经费支出预算40.59万元，主要保障机关机构正常运转及正常履职需要的办公费、水电费、物业费、维修费、差旅费等支出，与2023年相比减少7.23万元，下降15.12%，主要原因：</w:t>
      </w:r>
      <w:r>
        <w:rPr>
          <w:rFonts w:hint="eastAsia" w:ascii="仿宋_GB2312" w:hAnsi="Times New Roman" w:eastAsia="仿宋_GB2312" w:cs="仿宋_GB2312"/>
          <w:kern w:val="2"/>
          <w:sz w:val="32"/>
          <w:szCs w:val="32"/>
          <w:highlight w:val="yellow"/>
          <w:lang w:val="en-US" w:eastAsia="zh-CN"/>
        </w:rPr>
        <w:t>********</w:t>
      </w:r>
      <w:r>
        <w:rPr>
          <w:rFonts w:hint="eastAsia" w:ascii="仿宋_GB2312" w:hAnsi="Times New Roman" w:eastAsia="仿宋_GB2312" w:cs="仿宋_GB2312"/>
          <w:kern w:val="2"/>
          <w:sz w:val="32"/>
          <w:szCs w:val="32"/>
          <w:highlight w:val="none"/>
          <w:lang w:val="en-US" w:eastAsia="zh-CN"/>
        </w:rPr>
        <w:t>。</w:t>
      </w:r>
    </w:p>
    <w:p w14:paraId="10F75AC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黑体" w:hAnsi="宋体" w:eastAsia="黑体" w:cs="Times New Roman"/>
          <w:snapToGrid/>
          <w:spacing w:val="-2"/>
          <w:kern w:val="2"/>
          <w:sz w:val="32"/>
          <w:szCs w:val="32"/>
          <w:highlight w:val="none"/>
          <w:lang w:val="en-US" w:eastAsia="zh-CN" w:bidi="ar-SA"/>
        </w:rPr>
        <w:t>九、支出预算经济分类情况说明</w:t>
      </w:r>
    </w:p>
    <w:p w14:paraId="7CC05305">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鹿邑县文化广电和旅游局2024年单位预算支出5,012.72万元，其中：</w:t>
      </w:r>
      <w:r>
        <w:rPr>
          <w:rFonts w:hint="eastAsia" w:ascii="仿宋_GB2312" w:hAnsi="Times New Roman" w:eastAsia="仿宋_GB2312" w:cs="仿宋_GB2312"/>
          <w:b/>
          <w:bCs/>
          <w:kern w:val="2"/>
          <w:sz w:val="32"/>
          <w:szCs w:val="32"/>
          <w:highlight w:val="none"/>
          <w:lang w:val="en-US" w:eastAsia="zh-CN"/>
        </w:rPr>
        <w:t>301工资福利支出</w:t>
      </w:r>
      <w:r>
        <w:rPr>
          <w:rFonts w:hint="eastAsia" w:ascii="仿宋_GB2312" w:hAnsi="Times New Roman" w:eastAsia="仿宋_GB2312" w:cs="仿宋_GB2312"/>
          <w:kern w:val="2"/>
          <w:sz w:val="32"/>
          <w:szCs w:val="32"/>
          <w:highlight w:val="none"/>
          <w:lang w:val="en-US" w:eastAsia="zh-CN"/>
        </w:rPr>
        <w:t>1397.57万元，主要包括：基本工资584.08万元、津贴补贴80.34万元、奖金20.38万元、绩效工资114.20万元、基本养老保险缴费249.33万元、医疗保险缴费50.24万元、其他社会保障缴费52.78万元、住房公积金86.70万元、其他工资福利性支出159.52万元；</w:t>
      </w:r>
      <w:r>
        <w:rPr>
          <w:rFonts w:hint="eastAsia" w:ascii="仿宋_GB2312" w:hAnsi="Times New Roman" w:eastAsia="仿宋_GB2312" w:cs="仿宋_GB2312"/>
          <w:b/>
          <w:bCs/>
          <w:kern w:val="2"/>
          <w:sz w:val="32"/>
          <w:szCs w:val="32"/>
          <w:highlight w:val="none"/>
          <w:lang w:val="en-US" w:eastAsia="zh-CN"/>
        </w:rPr>
        <w:t>302商品和服务支出</w:t>
      </w:r>
      <w:r>
        <w:rPr>
          <w:rFonts w:hint="eastAsia" w:ascii="仿宋_GB2312" w:hAnsi="Times New Roman" w:eastAsia="仿宋_GB2312" w:cs="仿宋_GB2312"/>
          <w:kern w:val="2"/>
          <w:sz w:val="32"/>
          <w:szCs w:val="32"/>
          <w:highlight w:val="none"/>
          <w:lang w:val="en-US" w:eastAsia="zh-CN"/>
        </w:rPr>
        <w:t>3534.69万元，主要包括：办公费411.32万元、印刷费34.22万元、手续费0.20万元、邮电费2.00万元、水电费31.00万元、差旅费20.00万元、维修（护）费万元、租赁费万元、培训费万元、劳务费0.80万元、公务接待费0.20万元、公务用车运行维护费9.05万元、被装购置费1.50万元、其他交通费用22.32万元、其他商品服务支出3002.08万元；</w:t>
      </w:r>
      <w:r>
        <w:rPr>
          <w:rFonts w:hint="eastAsia" w:ascii="仿宋_GB2312" w:hAnsi="Times New Roman" w:eastAsia="仿宋_GB2312" w:cs="仿宋_GB2312"/>
          <w:b/>
          <w:bCs/>
          <w:kern w:val="2"/>
          <w:sz w:val="32"/>
          <w:szCs w:val="32"/>
          <w:highlight w:val="none"/>
          <w:lang w:val="en-US" w:eastAsia="zh-CN"/>
        </w:rPr>
        <w:t>303对个人和家庭的补助支出</w:t>
      </w:r>
      <w:r>
        <w:rPr>
          <w:rFonts w:hint="eastAsia" w:ascii="仿宋_GB2312" w:hAnsi="Times New Roman" w:eastAsia="仿宋_GB2312" w:cs="仿宋_GB2312"/>
          <w:kern w:val="2"/>
          <w:sz w:val="32"/>
          <w:szCs w:val="32"/>
          <w:highlight w:val="none"/>
          <w:lang w:val="en-US" w:eastAsia="zh-CN"/>
        </w:rPr>
        <w:t>80.46万元，主要包括：生活补助13.61万元、离休费9.00万元、退休费27.85万元、其他对个人和家庭的补助30.00万元。</w:t>
      </w:r>
    </w:p>
    <w:p w14:paraId="2B7A20D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十、“三公”经费支出预算情况说明</w:t>
      </w:r>
    </w:p>
    <w:p w14:paraId="15F3DD28">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鹿邑县文化广电和旅游局2024年“三公”经费预算为9.05万元。2024年“三公”经费支出预算数较2023年增加2.75万元，增加43.65%，主要原因是：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044E8338">
      <w:pPr>
        <w:keepNext w:val="0"/>
        <w:keepLines w:val="0"/>
        <w:pageBreakBefore w:val="0"/>
        <w:widowControl w:val="0"/>
        <w:kinsoku/>
        <w:wordWrap w:val="0"/>
        <w:overflowPunct/>
        <w:topLinePunct w:val="0"/>
        <w:autoSpaceDE/>
        <w:autoSpaceDN/>
        <w:bidi w:val="0"/>
        <w:adjustRightInd/>
        <w:snapToGrid/>
        <w:spacing w:before="313" w:beforeLines="100" w:after="313" w:afterLines="100" w:afterAutospacing="0"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826000" cy="2743200"/>
            <wp:effectExtent l="4445" t="4445" r="8255" b="8255"/>
            <wp:docPr id="18"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4438385">
      <w:pPr>
        <w:keepNext w:val="0"/>
        <w:keepLines w:val="0"/>
        <w:pageBreakBefore w:val="0"/>
        <w:widowControl w:val="0"/>
        <w:kinsoku/>
        <w:wordWrap/>
        <w:topLinePunct w:val="0"/>
        <w:autoSpaceDE/>
        <w:autoSpaceDN/>
        <w:bidi w:val="0"/>
        <w:adjustRightInd/>
        <w:snapToGrid/>
        <w:spacing w:beforeAutospacing="0"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具体支出情况如下：</w:t>
      </w:r>
    </w:p>
    <w:p w14:paraId="7B53C4C3">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(一)因公出国(境)费0.00万元，主要用于单位工作人员公务出国(境)的住宿费、差旅费、伙食补助费、杂费、培训费等支出。预算数与2023年持平，主要原因是：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2920E08A">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(二)公务用车购置及运行费0.00万元，其中，公务用车购置费0.00万元，主要用于单位公务用车购置支出（含车辆购置税、牌照费），与2023年持平，主要原因是：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；公务用车运行维护费9.05万元，主要用于开展工作所需公务用车的燃料费、维修费、过路过桥费、保险费、安全奖励费用等支出，较2023年增加3.05万元，增加50.83%，主要原因是：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4E923420">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(三)公务接待费0.20万元，主要用于按规定开支的各类公务接待(含外宾接待)支出。预算数较2023年减少0.10万元，下降33.33%，主要原因是：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22E2B51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十一、政府性基金预算支出预算情况说明</w:t>
      </w:r>
    </w:p>
    <w:p w14:paraId="0F67F6BB">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鹿邑县文化广电和旅游局2024年无政府性基金预算拨款安排的支出。</w:t>
      </w:r>
    </w:p>
    <w:p w14:paraId="17DA485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十二、国有资本经营预算支出情况说明</w:t>
      </w:r>
    </w:p>
    <w:p w14:paraId="6583F5B6">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鹿邑县文化广电和旅游局2024年国有资本经营预算支出215.00万元，主要用于：</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2C7F812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十三、政府采购支出情况</w:t>
      </w:r>
    </w:p>
    <w:p w14:paraId="6A5DF20F">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2024年政府采购预算安排0.00万元，其中：政府采购货物预算0.00万元、政府采购工程预算0.00万元、政府采购服务预算0.00万元。</w:t>
      </w:r>
    </w:p>
    <w:p w14:paraId="2C92FE3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十四、项目绩效目标设置情况说明</w:t>
      </w:r>
    </w:p>
    <w:p w14:paraId="7A843953">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我单位纳入预算绩效管理的支出总额为5012.72万元，其中：人员经费支出1163.87万元，公用经费支出40.59万元，项目支出总额3,808.26万元。支出项目共66个，其中：预算支出100万元及100万元以上的重点项目8个，支出总额2293.97万元。均按要求编制了绩效目标，从项目产出、项目效益、满意度等方面设置了绩效指标，综合反映项目预期完成的数量、实效、质量，预期达到的社会经济效益、可持续影响以及服务对象满意度等情况。</w:t>
      </w:r>
    </w:p>
    <w:p w14:paraId="6C7CE54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十五、其他重要事项情况说明</w:t>
      </w:r>
    </w:p>
    <w:p w14:paraId="3814991B">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(一)国有资产占用情况</w:t>
      </w:r>
    </w:p>
    <w:p w14:paraId="73B187BC">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2023年期末，鹿邑县文化广电和旅游局部门固定资产总额</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万元，其中，房屋建筑物</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万元，办公设备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万元。共有车辆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辆，其中：一般公务用车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辆、一般执法执勤用车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辆、特种专业技术用车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辆，其他用车主要是：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；单价50万元以上通用设备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套，单位价值100万元以上专用设备***套。</w:t>
      </w:r>
    </w:p>
    <w:p w14:paraId="1F44CD7E">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(二)专项转移支付项目情况</w:t>
      </w:r>
    </w:p>
    <w:p w14:paraId="51A18106">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鹿邑县文化广电和旅游局部门负责管理的专项转移支付项目共有0项，我部门无负责管理的专项转移支付项目资金。</w:t>
      </w:r>
    </w:p>
    <w:p w14:paraId="00D3F454">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color w:val="000000"/>
          <w:spacing w:val="-2"/>
          <w:kern w:val="2"/>
          <w:sz w:val="32"/>
          <w:szCs w:val="32"/>
          <w:lang w:val="en-US" w:eastAsia="zh-CN" w:bidi="ar-SA"/>
        </w:rPr>
        <w:t>（三）</w:t>
      </w:r>
      <w:r>
        <w:rPr>
          <w:rFonts w:hint="eastAsia" w:ascii="楷体" w:hAnsi="楷体" w:eastAsia="楷体" w:cs="Times New Roman"/>
          <w:snapToGrid/>
          <w:spacing w:val="-2"/>
          <w:kern w:val="2"/>
          <w:sz w:val="32"/>
          <w:szCs w:val="32"/>
          <w:highlight w:val="none"/>
          <w:lang w:val="en-US" w:eastAsia="zh-CN" w:bidi="ar-SA"/>
        </w:rPr>
        <w:t>债务收支项目情况</w:t>
      </w:r>
    </w:p>
    <w:p w14:paraId="4C4593BB">
      <w:pPr>
        <w:widowControl w:val="0"/>
        <w:kinsoku/>
        <w:wordWrap w:val="0"/>
        <w:autoSpaceDE/>
        <w:autoSpaceDN/>
        <w:adjustRightInd/>
        <w:snapToGrid/>
        <w:spacing w:line="578" w:lineRule="exact"/>
        <w:ind w:firstLine="64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鹿邑县文化广电和旅游局部门2024年没有债务收入支出项目安排。</w:t>
      </w:r>
    </w:p>
    <w:p w14:paraId="0CCC593E">
      <w:pPr>
        <w:jc w:val="both"/>
        <w:rPr>
          <w:rFonts w:ascii="仿宋_GB2312" w:hAnsi="Calibri" w:eastAsia="仿宋_GB2312" w:cs="Times New Roman"/>
          <w:snapToGrid/>
          <w:kern w:val="2"/>
          <w:sz w:val="32"/>
          <w:szCs w:val="32"/>
        </w:rPr>
      </w:pPr>
      <w:r>
        <w:br w:type="page"/>
      </w:r>
    </w:p>
    <w:p w14:paraId="1AD7CBD2">
      <w:pPr>
        <w:spacing w:before="1" w:line="578" w:lineRule="atLeast"/>
        <w:jc w:val="center"/>
        <w:rPr>
          <w:rFonts w:hint="eastAsia" w:ascii="黑体" w:hAnsi="黑体" w:eastAsia="黑体" w:cs="黑体"/>
          <w:spacing w:val="19"/>
          <w:sz w:val="31"/>
          <w:szCs w:val="31"/>
          <w:lang w:eastAsia="zh-CN"/>
        </w:rPr>
      </w:pPr>
      <w:r>
        <w:rPr>
          <w:rFonts w:hint="eastAsia" w:ascii="黑体" w:hAnsi="黑体" w:eastAsia="黑体" w:cs="黑体"/>
          <w:spacing w:val="19"/>
          <w:sz w:val="31"/>
          <w:szCs w:val="31"/>
        </w:rPr>
        <w:t>第三部分</w:t>
      </w:r>
    </w:p>
    <w:p w14:paraId="187FB221">
      <w:pPr>
        <w:spacing w:before="1" w:line="578" w:lineRule="atLeast"/>
        <w:jc w:val="center"/>
        <w:rPr>
          <w:rFonts w:ascii="黑体" w:hAnsi="黑体" w:eastAsia="黑体" w:cs="黑体"/>
          <w:spacing w:val="19"/>
          <w:sz w:val="31"/>
          <w:szCs w:val="31"/>
        </w:rPr>
      </w:pPr>
      <w:r>
        <w:rPr>
          <w:rFonts w:hint="eastAsia" w:ascii="黑体" w:hAnsi="黑体" w:eastAsia="黑体" w:cs="黑体"/>
          <w:spacing w:val="19"/>
          <w:sz w:val="31"/>
          <w:szCs w:val="31"/>
        </w:rPr>
        <w:t>名词解释</w:t>
      </w:r>
    </w:p>
    <w:p w14:paraId="2B897537">
      <w:pPr>
        <w:widowControl w:val="0"/>
        <w:kinsoku/>
        <w:autoSpaceDE/>
        <w:autoSpaceDN/>
        <w:adjustRightInd/>
        <w:snapToGrid/>
        <w:spacing w:line="578" w:lineRule="exact"/>
        <w:ind w:firstLine="64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一、财政拨款收入：是指财政当年拨付的资金；包括一般公共预算拨款、政府性基金预算拨款、国有资本经营预算拨款。</w:t>
      </w:r>
    </w:p>
    <w:p w14:paraId="3D55B5AF">
      <w:pPr>
        <w:widowControl w:val="0"/>
        <w:kinsoku/>
        <w:autoSpaceDE/>
        <w:autoSpaceDN/>
        <w:adjustRightInd/>
        <w:snapToGrid/>
        <w:spacing w:line="578" w:lineRule="exact"/>
        <w:ind w:firstLine="64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二、财政专户管理资金：是指缴入财政专户、实行专项管理的高中以上学费、住宿费、高校委托培养费、函大、电大、夜大及短训班培训费等教育收费。</w:t>
      </w:r>
    </w:p>
    <w:p w14:paraId="7F9478F2">
      <w:pPr>
        <w:widowControl w:val="0"/>
        <w:kinsoku/>
        <w:autoSpaceDE/>
        <w:autoSpaceDN/>
        <w:adjustRightInd/>
        <w:snapToGrid/>
        <w:spacing w:line="578" w:lineRule="exact"/>
        <w:ind w:firstLine="64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三、事业收入：是指事业单位开展专业活动及辅助活动所取得的收入，不包括教育收费。</w:t>
      </w:r>
    </w:p>
    <w:p w14:paraId="49AFB6ED">
      <w:pPr>
        <w:widowControl w:val="0"/>
        <w:kinsoku/>
        <w:autoSpaceDE/>
        <w:autoSpaceDN/>
        <w:adjustRightInd/>
        <w:snapToGrid/>
        <w:spacing w:line="578" w:lineRule="exact"/>
        <w:ind w:firstLine="64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四、事业单位经营收入：是指事业单位在专业业务活动及其辅助活动之外开展非独立核算经营活动取得的收入。</w:t>
      </w:r>
    </w:p>
    <w:p w14:paraId="3BFDB3F1">
      <w:pPr>
        <w:widowControl w:val="0"/>
        <w:kinsoku/>
        <w:autoSpaceDE/>
        <w:autoSpaceDN/>
        <w:adjustRightInd/>
        <w:snapToGrid/>
        <w:spacing w:line="578" w:lineRule="exact"/>
        <w:ind w:firstLine="64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五、其他收入：是指部门取得的除“财政拨款”、“事业收入”、“事业单位经营收入”等以外的收入。</w:t>
      </w:r>
    </w:p>
    <w:p w14:paraId="10B50D0C">
      <w:pPr>
        <w:widowControl w:val="0"/>
        <w:kinsoku/>
        <w:autoSpaceDE/>
        <w:autoSpaceDN/>
        <w:adjustRightInd/>
        <w:snapToGrid/>
        <w:spacing w:line="578" w:lineRule="exact"/>
        <w:ind w:firstLine="64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14:paraId="4577F0E4">
      <w:pPr>
        <w:widowControl w:val="0"/>
        <w:kinsoku/>
        <w:autoSpaceDE/>
        <w:autoSpaceDN/>
        <w:adjustRightInd/>
        <w:snapToGrid/>
        <w:spacing w:line="578" w:lineRule="exact"/>
        <w:ind w:firstLine="64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七、基本支出：是指为保障机构正常运转、完成日常工作任务所必需的开支，其内容包括人员经费和日常公用经费两部分。</w:t>
      </w:r>
    </w:p>
    <w:p w14:paraId="6959AF76">
      <w:pPr>
        <w:widowControl w:val="0"/>
        <w:kinsoku/>
        <w:autoSpaceDE/>
        <w:autoSpaceDN/>
        <w:adjustRightInd/>
        <w:snapToGrid/>
        <w:spacing w:line="578" w:lineRule="exact"/>
        <w:ind w:firstLine="64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八、项目支出：是指在基本支出之外，为完成特定的行政工作任务或事业发展目标所发生的支出。</w:t>
      </w:r>
    </w:p>
    <w:p w14:paraId="0C45E0B9">
      <w:pPr>
        <w:widowControl w:val="0"/>
        <w:kinsoku/>
        <w:autoSpaceDE/>
        <w:autoSpaceDN/>
        <w:adjustRightInd/>
        <w:snapToGrid/>
        <w:spacing w:line="578" w:lineRule="exact"/>
        <w:ind w:firstLine="64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九、“三公”经费：是指纳入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C2A4745">
      <w:pPr>
        <w:widowControl w:val="0"/>
        <w:kinsoku/>
        <w:autoSpaceDE/>
        <w:autoSpaceDN/>
        <w:adjustRightInd/>
        <w:snapToGrid/>
        <w:spacing w:line="578"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十、行政（事业）单位机构运转经费情况：是指为保障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732E7447">
      <w:pPr>
        <w:widowControl w:val="0"/>
        <w:kinsoku/>
        <w:autoSpaceDE/>
        <w:autoSpaceDN/>
        <w:adjustRightInd/>
        <w:snapToGrid/>
        <w:spacing w:line="578" w:lineRule="exact"/>
        <w:jc w:val="both"/>
        <w:textAlignment w:val="auto"/>
        <w:rPr>
          <w:rFonts w:hint="eastAsia" w:ascii="仿宋" w:hAnsi="仿宋" w:eastAsia="仿宋" w:cs="仿宋"/>
          <w:snapToGrid/>
          <w:kern w:val="2"/>
          <w:sz w:val="32"/>
          <w:szCs w:val="32"/>
        </w:rPr>
      </w:pPr>
    </w:p>
    <w:p w14:paraId="7041A160">
      <w:pPr>
        <w:widowControl w:val="0"/>
        <w:kinsoku/>
        <w:autoSpaceDE/>
        <w:autoSpaceDN/>
        <w:adjustRightInd/>
        <w:snapToGrid/>
        <w:spacing w:line="578"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附件：鹿邑县文化广电和旅游局2024年度部门预算表</w:t>
      </w:r>
    </w:p>
    <w:p w14:paraId="2BB3AFB8">
      <w:pPr>
        <w:widowControl w:val="0"/>
        <w:kinsoku/>
        <w:autoSpaceDE/>
        <w:autoSpaceDN/>
        <w:adjustRightInd/>
        <w:snapToGrid/>
        <w:spacing w:line="600" w:lineRule="exact"/>
        <w:ind w:firstLine="640" w:firstLineChars="200"/>
        <w:textAlignment w:val="auto"/>
        <w:rPr>
          <w:rFonts w:ascii="仿宋" w:hAnsi="仿宋" w:eastAsia="仿宋" w:cs="仿宋"/>
          <w:snapToGrid/>
          <w:kern w:val="2"/>
          <w:sz w:val="32"/>
          <w:szCs w:val="32"/>
        </w:rPr>
      </w:pPr>
    </w:p>
    <w:p w14:paraId="622120EC">
      <w:pPr>
        <w:rPr>
          <w:rFonts w:ascii="黑体" w:hAnsi="黑体" w:eastAsia="黑体" w:cs="黑体"/>
        </w:rPr>
      </w:pPr>
    </w:p>
    <w:sectPr>
      <w:footerReference r:id="rId3" w:type="default"/>
      <w:pgSz w:w="11906" w:h="16838"/>
      <w:pgMar w:top="1327" w:right="1689" w:bottom="1327"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4C12A">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5023255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DsXth0DAgAADAQAAA4AAAAAAAAAAQAgAAAAHwEAAGRycy9lMm9E&#10;b2MueG1sUEsFBgAAAAAGAAYAWQEAAJQFAAAAAA==&#10;">
              <v:fill on="f" focussize="0,0"/>
              <v:stroke on="f"/>
              <v:imagedata o:title=""/>
              <o:lock v:ext="edit" aspectratio="f"/>
              <v:textbox inset="0mm,0mm,0mm,0mm" style="mso-fit-shape-to-text:t;">
                <w:txbxContent>
                  <w:p w14:paraId="5023255F">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7856A0"/>
    <w:multiLevelType w:val="singleLevel"/>
    <w:tmpl w:val="BE7856A0"/>
    <w:lvl w:ilvl="0" w:tentative="0">
      <w:start w:val="1"/>
      <w:numFmt w:val="decimal"/>
      <w:lvlText w:val="%1."/>
      <w:lvlJc w:val="left"/>
      <w:pPr>
        <w:tabs>
          <w:tab w:val="left" w:pos="312"/>
        </w:tabs>
      </w:pPr>
    </w:lvl>
  </w:abstractNum>
  <w:abstractNum w:abstractNumId="1">
    <w:nsid w:val="08963A7A"/>
    <w:multiLevelType w:val="singleLevel"/>
    <w:tmpl w:val="08963A7A"/>
    <w:lvl w:ilvl="0" w:tentative="0">
      <w:start w:val="1"/>
      <w:numFmt w:val="decimal"/>
      <w:suff w:val="nothing"/>
      <w:lvlText w:val="%1、"/>
      <w:lvlJc w:val="left"/>
    </w:lvl>
  </w:abstractNum>
  <w:abstractNum w:abstractNumId="2">
    <w:nsid w:val="3DB8D82D"/>
    <w:multiLevelType w:val="singleLevel"/>
    <w:tmpl w:val="3DB8D82D"/>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NotTrackMoves/>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QyOTJiODMyZjg1NTkwYjY0YjUzZmE1ZjRkM2NhOWUifQ=="/>
  </w:docVars>
  <w:rsids>
    <w:rsidRoot w:val="00000000"/>
    <w:rsid w:val="1A300F8F"/>
    <w:rsid w:val="2A460069"/>
    <w:rsid w:val="399A358E"/>
    <w:rsid w:val="42D92F22"/>
    <w:rsid w:val="450E3150"/>
    <w:rsid w:val="46016649"/>
    <w:rsid w:val="46C116B4"/>
    <w:rsid w:val="48E51E19"/>
    <w:rsid w:val="4CBF7D74"/>
    <w:rsid w:val="54FD24FA"/>
    <w:rsid w:val="5AAB7E9F"/>
    <w:rsid w:val="70350F9B"/>
    <w:rsid w:val="788077B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styleId="5">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YKQ\Desktop\&#40575;&#37009;&#39044;&#31639;&#20844;&#24320;&#22270;&#3492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jcl\Desktop\&#40575;&#37009;&#39044;&#31639;&#20844;&#24320;&#22270;&#34920;&#27169;&#26495;(1).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4494;&#20449;\WeChat%20Files\wxid_nn8eie5g5lk322\FileStorage\File\2024-06\&#40575;&#37009;&#39044;&#31639;&#20844;&#24320;&#22270;&#34920;&#27169;&#2649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YKQ\Desktop\&#40575;&#37009;&#39044;&#31639;&#20844;&#24320;&#22270;&#34920;&#27169;&#26495;.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4494;&#20449;\WeChat%20Files\wxid_nn8eie5g5lk322\FileStorage\File\2024-06\&#40575;&#37009;&#39044;&#31639;&#20844;&#24320;&#22270;&#34920;&#27169;&#26495;.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D:\&#24494;&#20449;\WeChat%20Files\wxid_nn8eie5g5lk322\FileStorage\File\2024-06\&#40575;&#37009;&#39044;&#31639;&#20844;&#24320;&#22270;&#34920;&#27169;&#26495;.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YKQ\Desktop\&#40575;&#37009;&#39044;&#31639;&#20844;&#24320;&#22270;&#3492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收入支出预算总体变动情况表图</a:t>
            </a:r>
          </a:p>
        </c:rich>
      </c:tx>
      <c:layout>
        <c:manualLayout>
          <c:xMode val="edge"/>
          <c:yMode val="edge"/>
          <c:x val="0.234210526315789"/>
          <c:y val="0.0277777777777778"/>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[鹿邑预算公开图表模板.xlsx]Sheet1!$D$7:$E$7</c:f>
              <c:strCache>
                <c:ptCount val="2"/>
                <c:pt idx="0">
                  <c:v>2024年</c:v>
                </c:pt>
                <c:pt idx="1">
                  <c:v>2023年</c:v>
                </c:pt>
              </c:strCache>
            </c:strRef>
          </c:cat>
          <c:val>
            <c:numRef>
              <c:f>[鹿邑预算公开图表模板.xlsx]Sheet1!$D$8:$E$8</c:f>
              <c:numCache>
                <c:formatCode>0.00_ </c:formatCode>
                <c:ptCount val="2"/>
                <c:pt idx="0">
                  <c:v>5012.72</c:v>
                </c:pt>
                <c:pt idx="1" c:formatCode="#.00&quot;万&quot;&quot;元&quot;">
                  <c:v>5990.85</c:v>
                </c:pt>
              </c:numCache>
            </c:numRef>
          </c:val>
        </c:ser>
        <c:dLbls>
          <c:showLegendKey val="0"/>
          <c:showVal val="1"/>
          <c:showCatName val="0"/>
          <c:showSerName val="0"/>
          <c:showPercent val="0"/>
          <c:showBubbleSize val="0"/>
        </c:dLbls>
        <c:gapWidth val="246"/>
        <c:overlap val="-28"/>
        <c:axId val="941691965"/>
        <c:axId val="928703952"/>
      </c:barChart>
      <c:catAx>
        <c:axId val="9416919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703952"/>
        <c:crosses val="autoZero"/>
        <c:auto val="1"/>
        <c:lblAlgn val="ctr"/>
        <c:lblOffset val="100"/>
        <c:noMultiLvlLbl val="0"/>
      </c:catAx>
      <c:valAx>
        <c:axId val="928703952"/>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1691965"/>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本年收入预算结构图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
                  <c:y val="0.34056580663513"/>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0921052631579"/>
                      <c:h val="0.209445585215606"/>
                    </c:manualLayout>
                  </c15:layout>
                </c:ext>
              </c:extLst>
            </c:dLbl>
            <c:dLbl>
              <c:idx val="1"/>
              <c:layout>
                <c:manualLayout>
                  <c:x val="-0.0203797397896931"/>
                  <c:y val="0.177468912461512"/>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63021052631579"/>
                      <c:h val="0.160164271047228"/>
                    </c:manualLayout>
                  </c15:layout>
                </c:ext>
              </c:extLst>
            </c:dLbl>
            <c:dLbl>
              <c:idx val="2"/>
              <c:layout>
                <c:manualLayout>
                  <c:x val="-0.37644801140246"/>
                  <c:y val="0.0486248959003919"/>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176310526315789"/>
                      <c:h val="0.160164271047228"/>
                    </c:manualLayout>
                  </c15:layout>
                </c:ext>
              </c:extLst>
            </c:dLbl>
            <c:dLbl>
              <c:idx val="3"/>
              <c:layout>
                <c:manualLayout>
                  <c:x val="-0.322445603671179"/>
                  <c:y val="0.0478690974497997"/>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'[鹿邑预算公开图表模板(1).xlsx]Sheet1'!$D$20:$G$20</c:f>
              <c:strCache>
                <c:ptCount val="4"/>
                <c:pt idx="0">
                  <c:v>上年结转结余收入</c:v>
                </c:pt>
                <c:pt idx="1">
                  <c:v>一般公共预算</c:v>
                </c:pt>
                <c:pt idx="2">
                  <c:v>政府性基金</c:v>
                </c:pt>
                <c:pt idx="3">
                  <c:v>国有资本经营</c:v>
                </c:pt>
              </c:strCache>
            </c:strRef>
          </c:cat>
          <c:val>
            <c:numRef>
              <c:f>'[鹿邑预算公开图表模板(1).xlsx]Sheet1'!$D$21:$G$21</c:f>
              <c:numCache>
                <c:formatCode>#.00"万""元"</c:formatCode>
                <c:ptCount val="4"/>
                <c:pt idx="0">
                  <c:v>2468.02</c:v>
                </c:pt>
                <c:pt idx="1">
                  <c:v>2329.7</c:v>
                </c:pt>
                <c:pt idx="3" c:formatCode="#0.00&quot;万&quot;&quot;元&quot;">
                  <c:v>215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支出预算总体结构图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Lbls>
            <c:dLbl>
              <c:idx val="0"/>
              <c:layout>
                <c:manualLayout>
                  <c:x val="0.157894736842105"/>
                  <c:y val="-0.0300925925925926"/>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757894736842"/>
                      <c:h val="0.180555555555556"/>
                    </c:manualLayout>
                  </c15:layout>
                </c:ext>
              </c:extLst>
            </c:dLbl>
            <c:dLbl>
              <c:idx val="1"/>
              <c:layout>
                <c:manualLayout>
                  <c:x val="-0.10921052631579"/>
                  <c:y val="0.062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13284210526316"/>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[鹿邑预算公开图表模板.xlsx]Sheet1!$D$42:$E$42</c:f>
              <c:strCache>
                <c:ptCount val="2"/>
                <c:pt idx="0">
                  <c:v>基本支出</c:v>
                </c:pt>
                <c:pt idx="1">
                  <c:v>项目支出</c:v>
                </c:pt>
              </c:strCache>
            </c:strRef>
          </c:cat>
          <c:val>
            <c:numRef>
              <c:f>[鹿邑预算公开图表模板.xlsx]Sheet1!$D$43:$E$43</c:f>
              <c:numCache>
                <c:formatCode>#.00"万""元"</c:formatCode>
                <c:ptCount val="2"/>
                <c:pt idx="0">
                  <c:v>1204.46</c:v>
                </c:pt>
                <c:pt idx="1">
                  <c:v>3808.26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财政拨款一般公共预算变动情况图</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[鹿邑预算公开图表模板.xlsx]Sheet1!$D$67:$E$67</c:f>
              <c:strCache>
                <c:ptCount val="2"/>
                <c:pt idx="0">
                  <c:v>2024年</c:v>
                </c:pt>
                <c:pt idx="1">
                  <c:v>2023年</c:v>
                </c:pt>
              </c:strCache>
            </c:strRef>
          </c:cat>
          <c:val>
            <c:numRef>
              <c:f>[鹿邑预算公开图表模板.xlsx]Sheet1!$D$68:$E$68</c:f>
              <c:numCache>
                <c:formatCode>0.00_ </c:formatCode>
                <c:ptCount val="2"/>
                <c:pt idx="0">
                  <c:v>4797.72</c:v>
                </c:pt>
                <c:pt idx="1">
                  <c:v>5990.85</c:v>
                </c:pt>
              </c:numCache>
            </c:numRef>
          </c:val>
        </c:ser>
        <c:dLbls>
          <c:showLegendKey val="0"/>
          <c:showVal val="1"/>
          <c:showCatName val="0"/>
          <c:showSerName val="0"/>
          <c:showPercent val="0"/>
          <c:showBubbleSize val="0"/>
        </c:dLbls>
        <c:gapWidth val="246"/>
        <c:overlap val="-28"/>
        <c:axId val="939383263"/>
        <c:axId val="581372480"/>
      </c:barChart>
      <c:catAx>
        <c:axId val="9393832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1372480"/>
        <c:crosses val="autoZero"/>
        <c:auto val="1"/>
        <c:lblAlgn val="ctr"/>
        <c:lblOffset val="100"/>
        <c:noMultiLvlLbl val="0"/>
      </c:catAx>
      <c:valAx>
        <c:axId val="581372480"/>
        <c:scaling>
          <c:orientation val="minMax"/>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9383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一般公共预算支出结构图</a:t>
            </a:r>
          </a:p>
        </c:rich>
      </c:tx>
      <c:layout>
        <c:manualLayout>
          <c:xMode val="edge"/>
          <c:yMode val="edge"/>
          <c:x val="0.294606339468303"/>
          <c:y val="0.0216110019646365"/>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202517345605953"/>
                  <c:y val="-0.200392927308448"/>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7626315789474"/>
                      <c:h val="0.200392927308448"/>
                    </c:manualLayout>
                  </c15:layout>
                </c:ext>
              </c:extLst>
            </c:dLbl>
            <c:dLbl>
              <c:idx val="1"/>
              <c:layout>
                <c:manualLayout>
                  <c:x val="-0.139648584651813"/>
                  <c:y val="0.15717092337917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3284210526316"/>
                      <c:h val="0.200392927308448"/>
                    </c:manualLayout>
                  </c15:layout>
                </c:ext>
              </c:extLst>
            </c:dLbl>
            <c:dLbl>
              <c:idx val="2"/>
              <c:layout>
                <c:manualLayout>
                  <c:x val="-0.152757242753486"/>
                  <c:y val="0.031434184675834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4863157894737"/>
                      <c:h val="0.153241650294695"/>
                    </c:manualLayout>
                  </c15:layout>
                </c:ext>
              </c:extLst>
            </c:dLbl>
            <c:dLbl>
              <c:idx val="3"/>
              <c:layout>
                <c:manualLayout>
                  <c:x val="0.364933350981486"/>
                  <c:y val="0.0342410263471274"/>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1"/>
                      <c:h val="0.153241650294695"/>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[鹿邑预算公开图表模板.xlsx]Sheet1!$D$103:$D$106</c:f>
              <c:strCache>
                <c:ptCount val="4"/>
                <c:pt idx="0">
                  <c:v>文化体育旅游与传媒支出</c:v>
                </c:pt>
                <c:pt idx="1">
                  <c:v>社会保障和就业支出</c:v>
                </c:pt>
                <c:pt idx="2">
                  <c:v>卫生健康支出</c:v>
                </c:pt>
                <c:pt idx="3">
                  <c:v>住房保障支出</c:v>
                </c:pt>
              </c:strCache>
            </c:strRef>
          </c:cat>
          <c:val>
            <c:numRef>
              <c:f>[鹿邑预算公开图表模板.xlsx]Sheet1!$E$103:$E$106</c:f>
              <c:numCache>
                <c:formatCode>#.00"万""元"</c:formatCode>
                <c:ptCount val="4"/>
                <c:pt idx="0">
                  <c:v>2001.54</c:v>
                </c:pt>
                <c:pt idx="1">
                  <c:v>153.98</c:v>
                </c:pt>
                <c:pt idx="2">
                  <c:v>87.48</c:v>
                </c:pt>
                <c:pt idx="3">
                  <c:v>86.7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t" anchorCtr="0"/>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一般公共预算基本支出预算结构图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332894736842105"/>
                  <c:y val="-0.0193529833295618"/>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1968421052632"/>
                      <c:h val="0.180555555555556"/>
                    </c:manualLayout>
                  </c15:layout>
                </c:ext>
              </c:extLst>
            </c:dLbl>
            <c:dLbl>
              <c:idx val="1"/>
              <c:layout>
                <c:manualLayout>
                  <c:x val="-0.318421052631579"/>
                  <c:y val="0.13302877724975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2889473684211"/>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[鹿邑预算公开图表模板.xlsx]Sheet1!$D$128:$D$129</c:f>
              <c:strCache>
                <c:ptCount val="2"/>
                <c:pt idx="0">
                  <c:v>人员经费</c:v>
                </c:pt>
                <c:pt idx="1">
                  <c:v>公用经费</c:v>
                </c:pt>
              </c:strCache>
            </c:strRef>
          </c:cat>
          <c:val>
            <c:numRef>
              <c:f>[鹿邑预算公开图表模板.xlsx]Sheet1!$E$128:$E$129</c:f>
              <c:numCache>
                <c:formatCode>#.00"万""元"</c:formatCode>
                <c:ptCount val="2"/>
                <c:pt idx="0">
                  <c:v>1163.87</c:v>
                </c:pt>
                <c:pt idx="1">
                  <c:v>40.59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三公经费支出预算变动情况图</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[鹿邑预算公开图表模板.xlsx]Sheet1!$D$174:$E$174</c:f>
              <c:strCache>
                <c:ptCount val="2"/>
                <c:pt idx="0">
                  <c:v>2024年</c:v>
                </c:pt>
                <c:pt idx="1">
                  <c:v>2023年</c:v>
                </c:pt>
              </c:strCache>
            </c:strRef>
          </c:cat>
          <c:val>
            <c:numRef>
              <c:f>[鹿邑预算公开图表模板.xlsx]Sheet1!$D$175:$E$175</c:f>
              <c:numCache>
                <c:formatCode>0.00_ </c:formatCode>
                <c:ptCount val="2"/>
                <c:pt idx="0">
                  <c:v>9.05</c:v>
                </c:pt>
                <c:pt idx="1">
                  <c:v>6.3</c:v>
                </c:pt>
              </c:numCache>
            </c:numRef>
          </c:val>
        </c:ser>
        <c:dLbls>
          <c:showLegendKey val="0"/>
          <c:showVal val="1"/>
          <c:showCatName val="0"/>
          <c:showSerName val="0"/>
          <c:showPercent val="0"/>
          <c:showBubbleSize val="0"/>
        </c:dLbls>
        <c:gapWidth val="246"/>
        <c:overlap val="-28"/>
        <c:axId val="263785593"/>
        <c:axId val="438893198"/>
      </c:barChart>
      <c:catAx>
        <c:axId val="2637855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8893198"/>
        <c:crosses val="autoZero"/>
        <c:auto val="1"/>
        <c:lblAlgn val="ctr"/>
        <c:lblOffset val="100"/>
        <c:noMultiLvlLbl val="0"/>
      </c:catAx>
      <c:valAx>
        <c:axId val="438893198"/>
        <c:scaling>
          <c:orientation val="minMax"/>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378559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2052-12.1.0.16929</vt:lpwstr>
  </property>
  <property fmtid="{D5CDD505-2E9C-101B-9397-08002B2CF9AE}" pid="5" name="ICV">
    <vt:lpwstr>6219C72C0227492E8C0D528BFFA06DB6_13</vt:lpwstr>
  </property>
</Properties>
</file>

<file path=customXml/item3.xml><?xml version="1.0" encoding="utf-8"?>
<Properties xmlns="http://schemas.openxmlformats.org/officeDocument/2006/extended-properties" xmlns:vt="http://schemas.openxmlformats.org/officeDocument/2006/docPropsVTypes">
  <Template>Normal.dotm</Template>
  <Pages>24</Pages>
  <Words>3642</Words>
  <Characters>8155</Characters>
  <Lines>57</Lines>
  <Paragraphs>16</Paragraphs>
  <TotalTime>45</TotalTime>
  <ScaleCrop>false</ScaleCrop>
  <LinksUpToDate>false</LinksUpToDate>
  <CharactersWithSpaces>8201</CharactersWithSpaces>
  <Application>WPS Office_12.1.0.16929_F1E327BC-269C-435d-A152-05C5408002CA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2023-02-24T01:21:00Z</dcterms:created>
  <dc:creator>NTKO</dc:creator>
  <cp:lastModifiedBy>aaa</cp:lastModifiedBy>
  <cp:lastPrinted>2024-01-27T19:01:00Z</cp:lastPrinted>
  <dcterms:modified xsi:type="dcterms:W3CDTF">2024-06-12T04:21:39Z</dcterms:modified>
  <cp:revision>29</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fcb863-771e-41f4-b877-6e7105536488}">
  <ds:schemaRefs/>
</ds:datastoreItem>
</file>

<file path=customXml/itemProps3.xml><?xml version="1.0" encoding="utf-8"?>
<ds:datastoreItem xmlns:ds="http://schemas.openxmlformats.org/officeDocument/2006/customXml" ds:itemID="{caaa2e08-005b-49f5-928c-de2ad01fc13a}">
  <ds:schemaRefs/>
</ds:datastoreItem>
</file>

<file path=customXml/itemProps4.xml><?xml version="1.0" encoding="utf-8"?>
<ds:datastoreItem xmlns:ds="http://schemas.openxmlformats.org/officeDocument/2006/customXml" ds:itemID="{56942d5a-7163-46d0-9359-964eb2d68908}">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5142</Words>
  <Characters>5991</Characters>
  <Lines>57</Lines>
  <Paragraphs>16</Paragraphs>
  <TotalTime>55</TotalTime>
  <ScaleCrop>false</ScaleCrop>
  <LinksUpToDate>false</LinksUpToDate>
  <CharactersWithSpaces>6011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2023-02-24T01:21:00Z</dcterms:created>
  <dc:creator>NTKO</dc:creator>
  <cp:lastModifiedBy>强强</cp:lastModifiedBy>
  <cp:lastPrinted>2024-01-27T19:01:00Z</cp:lastPrinted>
  <dcterms:modified xsi:type="dcterms:W3CDTF">2024-09-03T08:28:19Z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2052-12.1.0.17827</vt:lpwstr>
  </property>
  <property fmtid="{D5CDD505-2E9C-101B-9397-08002B2CF9AE}" pid="5" name="ICV">
    <vt:lpwstr>2112EFC296A64FFD87C74BCB589F8D40_13</vt:lpwstr>
  </property>
</Properties>
</file>