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64B0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C81F4C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398DF4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164EAF1">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48A254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A8DA8A2">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F5607C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E3B669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054DC4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鹿邑县五河管理办公室</w:t>
      </w:r>
    </w:p>
    <w:p w14:paraId="0F17284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部门</w:t>
      </w: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预算</w:t>
      </w:r>
    </w:p>
    <w:p w14:paraId="1A7B19F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B6CF91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FD0D3C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58FCE2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2859231">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BE198B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8622ACE">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D58C64A">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396C4BBF">
      <w:pPr>
        <w:keepNext w:val="0"/>
        <w:keepLines w:val="0"/>
        <w:pageBreakBefore w:val="0"/>
        <w:widowControl/>
        <w:kinsoku w:val="0"/>
        <w:wordWrap/>
        <w:overflowPunct/>
        <w:topLinePunct w:val="0"/>
        <w:autoSpaceDE w:val="0"/>
        <w:autoSpaceDN w:val="0"/>
        <w:bidi w:val="0"/>
        <w:adjustRightInd w:val="0"/>
        <w:snapToGrid w:val="0"/>
        <w:spacing w:before="272" w:line="560" w:lineRule="atLeas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73750976">
      <w:pPr>
        <w:keepNext w:val="0"/>
        <w:keepLines w:val="0"/>
        <w:pageBreakBefore w:val="0"/>
        <w:widowControl/>
        <w:kinsoku w:val="0"/>
        <w:wordWrap/>
        <w:overflowPunct/>
        <w:topLinePunct w:val="0"/>
        <w:autoSpaceDE w:val="0"/>
        <w:autoSpaceDN w:val="0"/>
        <w:bidi w:val="0"/>
        <w:adjustRightInd w:val="0"/>
        <w:snapToGrid w:val="0"/>
        <w:spacing w:before="9" w:line="560"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鹿邑县五河管理办公室</w:t>
      </w:r>
      <w:r>
        <w:rPr>
          <w:rFonts w:ascii="黑体" w:hAnsi="黑体" w:eastAsia="黑体" w:cs="黑体"/>
          <w:spacing w:val="11"/>
          <w:sz w:val="31"/>
          <w:szCs w:val="31"/>
          <w:highlight w:val="none"/>
        </w:rPr>
        <w:t>概况</w:t>
      </w:r>
    </w:p>
    <w:p w14:paraId="10C52F10">
      <w:pPr>
        <w:keepNext w:val="0"/>
        <w:keepLines w:val="0"/>
        <w:pageBreakBefore w:val="0"/>
        <w:widowControl/>
        <w:kinsoku w:val="0"/>
        <w:wordWrap/>
        <w:overflowPunct/>
        <w:topLinePunct w:val="0"/>
        <w:autoSpaceDE w:val="0"/>
        <w:autoSpaceDN w:val="0"/>
        <w:bidi w:val="0"/>
        <w:adjustRightInd w:val="0"/>
        <w:snapToGrid w:val="0"/>
        <w:spacing w:before="24" w:line="560"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28C46AAE">
      <w:pPr>
        <w:keepNext w:val="0"/>
        <w:keepLines w:val="0"/>
        <w:pageBreakBefore w:val="0"/>
        <w:widowControl/>
        <w:kinsoku w:val="0"/>
        <w:wordWrap/>
        <w:overflowPunct/>
        <w:topLinePunct w:val="0"/>
        <w:autoSpaceDE w:val="0"/>
        <w:autoSpaceDN w:val="0"/>
        <w:bidi w:val="0"/>
        <w:adjustRightInd w:val="0"/>
        <w:snapToGrid w:val="0"/>
        <w:spacing w:line="560"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二、鹿邑县五河管理办公室</w:t>
      </w:r>
      <w:r>
        <w:rPr>
          <w:rFonts w:ascii="仿宋" w:hAnsi="仿宋" w:eastAsia="仿宋" w:cs="仿宋"/>
          <w:color w:val="313131"/>
          <w:spacing w:val="9"/>
          <w:sz w:val="31"/>
          <w:szCs w:val="31"/>
          <w:highlight w:val="none"/>
        </w:rPr>
        <w:t>预算单位构成</w:t>
      </w:r>
    </w:p>
    <w:p w14:paraId="51A20D8A">
      <w:pPr>
        <w:keepNext w:val="0"/>
        <w:keepLines w:val="0"/>
        <w:pageBreakBefore w:val="0"/>
        <w:widowControl/>
        <w:kinsoku w:val="0"/>
        <w:wordWrap/>
        <w:overflowPunct/>
        <w:topLinePunct w:val="0"/>
        <w:autoSpaceDE w:val="0"/>
        <w:autoSpaceDN w:val="0"/>
        <w:bidi w:val="0"/>
        <w:adjustRightInd w:val="0"/>
        <w:snapToGrid w:val="0"/>
        <w:spacing w:before="9" w:line="560"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鹿邑县五河管理办公室</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预算情况说明</w:t>
      </w:r>
    </w:p>
    <w:p w14:paraId="78A0C9BE">
      <w:pPr>
        <w:keepNext w:val="0"/>
        <w:keepLines w:val="0"/>
        <w:pageBreakBefore w:val="0"/>
        <w:widowControl/>
        <w:kinsoku w:val="0"/>
        <w:wordWrap/>
        <w:overflowPunct/>
        <w:topLinePunct w:val="0"/>
        <w:autoSpaceDE w:val="0"/>
        <w:autoSpaceDN w:val="0"/>
        <w:bidi w:val="0"/>
        <w:adjustRightInd w:val="0"/>
        <w:snapToGrid w:val="0"/>
        <w:spacing w:before="9" w:line="560"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0EAE4294">
      <w:pPr>
        <w:keepNext w:val="0"/>
        <w:keepLines w:val="0"/>
        <w:pageBreakBefore w:val="0"/>
        <w:widowControl/>
        <w:kinsoku w:val="0"/>
        <w:wordWrap/>
        <w:overflowPunct/>
        <w:topLinePunct w:val="0"/>
        <w:autoSpaceDE w:val="0"/>
        <w:autoSpaceDN w:val="0"/>
        <w:bidi w:val="0"/>
        <w:adjustRightInd w:val="0"/>
        <w:snapToGrid w:val="0"/>
        <w:spacing w:before="9" w:line="560"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鹿邑县五河管理办公室</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预算表</w:t>
      </w:r>
    </w:p>
    <w:p w14:paraId="3BD99587">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收支总体情况表</w:t>
      </w:r>
    </w:p>
    <w:p w14:paraId="19B4A48A">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收入总体情况表</w:t>
      </w:r>
    </w:p>
    <w:p w14:paraId="329D0F92">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支出总体情况表</w:t>
      </w:r>
    </w:p>
    <w:p w14:paraId="15A2FBE5">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440FE229">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018954D1">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1053A58C">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26D0D47E">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0DB547BA">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19E56051">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0A400236">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3F0F01A2">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283105F7">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730BFF97">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127C2A90">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整体绩效目标表</w:t>
      </w:r>
    </w:p>
    <w:p w14:paraId="67BC208B">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5EC4F5F3">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ascii="仿宋" w:hAnsi="仿宋" w:eastAsia="仿宋" w:cs="仿宋"/>
          <w:spacing w:val="8"/>
          <w:sz w:val="31"/>
          <w:szCs w:val="31"/>
          <w:highlight w:val="none"/>
          <w:lang w:val="en-US" w:eastAsia="zh-CN"/>
        </w:rPr>
      </w:pPr>
      <w:r>
        <w:br w:type="page"/>
      </w:r>
    </w:p>
    <w:p w14:paraId="28101752">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鹿邑县五河管理办公室概况</w:t>
      </w:r>
    </w:p>
    <w:p w14:paraId="7934C75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40330DB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33DC64CC">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yellow"/>
          <w:lang w:val="en-US" w:eastAsia="zh-CN" w:bidi="ar-SA"/>
        </w:rPr>
        <w:t>鹿邑县五河管理办公室主要负责做好五河的后续管理和常态化管理工作，机构规格相当于副科级，编制人员35人，全部为事业编制,现实有在职人员38人,退休人员9人，内设科室6个。分别为：闫沟河中队、问道苑中队、陈抟公园中队、路灯中队、综合督查室、人事财务室，所属事业单位0个。</w:t>
      </w:r>
    </w:p>
    <w:p w14:paraId="14A9B5D9">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5B6E9D5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1、负责五河两侧及沿岸游园、陈抟公园环境卫生及园林绿化管护。</w:t>
      </w:r>
    </w:p>
    <w:p w14:paraId="4593E47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2、负责五河两侧及沿岸游园、陈抟公园的栏杆、休闲椅、路面、亭子、路灯、健身器材、美化墙体等公共设施管护。</w:t>
      </w:r>
    </w:p>
    <w:p w14:paraId="3A8B25A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3、负责河道和湖面管护。</w:t>
      </w:r>
    </w:p>
    <w:p w14:paraId="1E8F8699">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4、负责受托行使区域内城市规划管理、市政公共设施管理、市容环境管理、水政管理等方面法律赋予的行政执法权。</w:t>
      </w:r>
    </w:p>
    <w:p w14:paraId="21E0F34F">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5、负责区域内所有经营事项的监督管理。</w:t>
      </w:r>
    </w:p>
    <w:p w14:paraId="36A9ED8E">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6、负责县委县政府交办的其他事项。</w:t>
      </w:r>
    </w:p>
    <w:p w14:paraId="492BBA3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二、鹿邑县五河管理办公室预算单位构成</w:t>
      </w:r>
    </w:p>
    <w:p w14:paraId="6459462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纳入本部门2024年度部门预算编制范围的单位共一个：鹿邑县五河管理办公室本级，无二级预算单位。</w:t>
      </w:r>
    </w:p>
    <w:p w14:paraId="4662CB1E">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p>
    <w:p w14:paraId="799B766C">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5777112F">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鹿邑县五河管理办公室2024年部门预算情况说明</w:t>
      </w:r>
    </w:p>
    <w:p w14:paraId="4CDCF7E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7EEC7FA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鹿邑县五河管理办公室2024年收入总计1215.17万元，支出总计1215.17万元，与2023年预算相比，收、支总计减少817.37万元，下降40.21%，主要原因是：</w:t>
      </w:r>
      <w:r>
        <w:rPr>
          <w:rFonts w:hint="eastAsia" w:ascii="仿宋" w:hAnsi="仿宋" w:eastAsia="仿宋" w:cs="仿宋"/>
          <w:snapToGrid/>
          <w:kern w:val="2"/>
          <w:sz w:val="32"/>
          <w:szCs w:val="32"/>
          <w:highlight w:val="yellow"/>
          <w:lang w:val="en-US" w:eastAsia="zh-CN" w:bidi="ar-SA"/>
        </w:rPr>
        <w:t>******。</w:t>
      </w:r>
    </w:p>
    <w:p w14:paraId="3FE6203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734560" cy="29718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E107A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24461B2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鹿邑县五河管理办公室2024年收入合计1215.17万元，其中：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870.85</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344.32</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r>
        <w:rPr>
          <w:rFonts w:hint="eastAsia" w:ascii="仿宋" w:hAnsi="仿宋" w:eastAsia="仿宋" w:cs="仿宋"/>
          <w:snapToGrid/>
          <w:kern w:val="2"/>
          <w:sz w:val="32"/>
          <w:szCs w:val="32"/>
          <w:highlight w:val="none"/>
          <w:lang w:val="en-US" w:eastAsia="zh-CN" w:bidi="ar-SA"/>
        </w:rPr>
        <w:tab/>
      </w:r>
    </w:p>
    <w:p w14:paraId="0BEF9D8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260090"/>
            <wp:effectExtent l="4445" t="4445" r="15875"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6F1ED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19174CA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鹿邑县五河管理办公室2024年支出合计1215.17万元，其中：基本支出251.39万元，占20.69%；项目支出963.78万元，占79.31%。</w:t>
      </w:r>
    </w:p>
    <w:p w14:paraId="2F9CBE1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3506470"/>
            <wp:effectExtent l="5080" t="4445" r="15240" b="95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FB193E">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153756A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4C8C47E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鹿邑县五河管理办公室2024年一般公共预算收支预算1215.17万元，政府性基金收支预算0.00万元，国有资本经营预算0.00万元。与2023年相比，一般公共预算收支预算增加78.61万元，增长6.92%，主要原因是：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政府性基金收支预算减少895.98万元，下降100.00%，主要原因是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p>
    <w:p w14:paraId="1D23AFD2">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813050"/>
            <wp:effectExtent l="4445" t="4445" r="15875" b="1714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291E1C">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4734560" cy="2794000"/>
            <wp:effectExtent l="4445" t="4445" r="15875" b="571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B3DF0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5DF1623C">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鹿邑县五河管理办公室2024年一般公共预算支出年初预算为870.85万元。其中</w:t>
      </w:r>
      <w:r>
        <w:rPr>
          <w:rFonts w:hint="eastAsia" w:ascii="仿宋" w:hAnsi="仿宋" w:eastAsia="仿宋" w:cs="仿宋"/>
          <w:sz w:val="32"/>
          <w:szCs w:val="32"/>
          <w:highlight w:val="none"/>
          <w:lang w:val="en-US" w:eastAsia="zh-CN"/>
        </w:rPr>
        <w:t>基本支出251.39万元，占28.87%；项目支出619.46万元，占71.13%</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7FB4E625">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1、社会保障和就业支出28.44万元，占3.27%，其中：行政事业单位养老支出（款）机关事业单位基本养老保险缴费支出（项）26.45万元，其他社会保障和就业支出（款）其他社会保障和就业支出（项）1.99万元。</w:t>
      </w:r>
    </w:p>
    <w:p w14:paraId="601DD295">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2、卫生健康支出13.26万元，占1.52%，其中：行政事业单位医疗（款）事业单位医疗支出（项）10.59万元，其他行政事业单位医疗支出（项）2.67万元。</w:t>
      </w:r>
    </w:p>
    <w:p w14:paraId="46E4D6A3">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3、城乡社区支出807.94万元，占92.78%。其中：城乡社区环境卫生支出（款）城乡社区环境卫生支出(项)807.94万元。</w:t>
      </w:r>
    </w:p>
    <w:p w14:paraId="6F186F6B">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4、住房保障支出21.21万元，占2.44%，其中：住房改革支出（款）住房公积金（项）21.21万元。</w:t>
      </w:r>
    </w:p>
    <w:p w14:paraId="362BED5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876800" cy="3475990"/>
            <wp:effectExtent l="4445" t="4445" r="10795" b="952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1345A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18237AD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鹿邑县五河管理办公室2024年一般公共预算基本支出年初预算为251.39万元，其中：人员经费支出249.29万元，占99.16%；公用经费支出2.10万元，占0.84%。</w:t>
      </w:r>
    </w:p>
    <w:p w14:paraId="49E530F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831080" cy="3301365"/>
            <wp:effectExtent l="4445" t="4445" r="15875" b="889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397EDF">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p>
    <w:p w14:paraId="1A1B8F4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68D42CA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五河管理办公室2024年一般公共预算基本支出年初预算为251.39万元，其中：人员经费支出249.29万元，占99.16%；主要包括：基本工资136.57万元、津贴补贴9.78万元、绩效工资37.98万元、机关事业单位基本养老保险缴费26.45万元、医疗保险缴费10.59万元、其他社会保障缴费4.66万元、住房公积金21.21万元、退休费2.05万元。公用经费支出2.10万元，占0.84%。主要包括：办公费1.00万元、印刷费0.50万元、水费0.40万元、邮电费0.20万元。</w:t>
      </w:r>
    </w:p>
    <w:p w14:paraId="0D428E5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6E49E5DF">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yellow"/>
          <w:lang w:val="en-US" w:eastAsia="zh-CN"/>
        </w:rPr>
      </w:pPr>
      <w:r>
        <w:rPr>
          <w:rFonts w:hint="eastAsia" w:ascii="仿宋_GB2312" w:hAnsi="Times New Roman" w:eastAsia="仿宋_GB2312" w:cs="仿宋_GB2312"/>
          <w:kern w:val="2"/>
          <w:sz w:val="32"/>
          <w:szCs w:val="32"/>
          <w:highlight w:val="none"/>
          <w:lang w:val="en-US" w:eastAsia="zh-CN"/>
        </w:rPr>
        <w:t>鹿邑县五河管理办公室2024年机构运行经费支出预算2.10万元，主要保障机关机构正常运转及正常履职需要的办公费、水电费、物业费、维修费、差旅费等支出，与2023年相比减少0.18万元，下降7.89%，主要原因：</w:t>
      </w:r>
      <w:r>
        <w:rPr>
          <w:rFonts w:hint="eastAsia" w:ascii="仿宋_GB2312" w:hAnsi="Times New Roman" w:eastAsia="仿宋_GB2312" w:cs="仿宋_GB2312"/>
          <w:kern w:val="2"/>
          <w:sz w:val="32"/>
          <w:szCs w:val="32"/>
          <w:highlight w:val="yellow"/>
          <w:lang w:val="en-US" w:eastAsia="zh-CN"/>
        </w:rPr>
        <w:t>******。</w:t>
      </w:r>
    </w:p>
    <w:p w14:paraId="7CD5FC1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708B8113">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五河管理办公室2024年预算支出1215.17万元，其中：301工资福利支出277.94万元，主要包括：基本工资149.66万元、津贴补贴12.88万元、绩效工资37.98万元、机关事业单位基本养老保险缴费32.19万元、医疗费0.23万元、医疗保险缴费10.59万元、其他社会保障缴费29.54万元、住房公积金21.21万元、其他工资福利性支出0.21万元；302商品和服务支出919.21万元，主要包括：办公费29.57万元、印刷费9.50万元、物业管理费402.23万元、邮电费0.20万元、水电费269.50万元、维修（护）费185.85万元、劳务费22.36万元；303对个人和家庭的补助支出18.02万元，主要包括：退休费2.05万元、其他对个人和家庭的补助15.97万元。</w:t>
      </w:r>
    </w:p>
    <w:p w14:paraId="5F49824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5D13835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鹿邑县五河管理办公室2024年“三公”经费预算为0.00万元。2024年“三公”经费支出预算数较2023年持平，主要原因是：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p>
    <w:p w14:paraId="600776CE">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0FB4F1D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03C2C78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p>
    <w:p w14:paraId="0BC1767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p>
    <w:p w14:paraId="5D4B9323">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826000" cy="2832100"/>
            <wp:effectExtent l="4445" t="4445" r="8255" b="825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AC2D0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6BE8893C">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鹿邑县五河管理办公室2024年无政府性基金预算拨款安排的支出。</w:t>
      </w:r>
    </w:p>
    <w:p w14:paraId="5BBD9EB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78515818">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鹿邑县五河管理办公室2024年无国有资本经营预算拨款安排的支出。</w:t>
      </w:r>
    </w:p>
    <w:p w14:paraId="61CE465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26B8DD6E">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鹿邑县五河管理办公室</w:t>
      </w:r>
      <w:r>
        <w:rPr>
          <w:rFonts w:hint="eastAsia" w:ascii="仿宋" w:hAnsi="仿宋" w:eastAsia="仿宋" w:cs="仿宋"/>
          <w:snapToGrid/>
          <w:kern w:val="2"/>
          <w:sz w:val="32"/>
          <w:szCs w:val="32"/>
          <w:highlight w:val="none"/>
          <w:lang w:val="en-US" w:eastAsia="zh-CN" w:bidi="ar-SA"/>
        </w:rPr>
        <w:t>政府采购预算安排0.00万元，其中：政府采购货物预算0.00万元、政府采购工程预算0.00万元、政府采购服务预算0.00万元。</w:t>
      </w:r>
    </w:p>
    <w:p w14:paraId="340C08D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06AAE941">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鹿邑县五河管理办公室</w:t>
      </w:r>
      <w:r>
        <w:rPr>
          <w:rFonts w:hint="eastAsia" w:ascii="仿宋" w:hAnsi="仿宋" w:eastAsia="仿宋" w:cs="仿宋"/>
          <w:snapToGrid/>
          <w:kern w:val="2"/>
          <w:sz w:val="32"/>
          <w:szCs w:val="32"/>
          <w:highlight w:val="none"/>
          <w:lang w:val="en-US" w:eastAsia="zh-CN" w:bidi="ar-SA"/>
        </w:rPr>
        <w:t>纳入预算绩效管理的支出总额为1215.17万元，其中：人员经费支出249.29万元，公用经费支出2.10万元，项目支出总额963.78万元。支出项目共66个，其中：预算支出100万元及100万元以上的重点项目2个，支出总额297.58万元。均按要求编制了绩效目标，从项目产出、项目效益、满意度等方面设置了绩效指标，综合反映项目预期完成的数量、实效、质量，预期达到的社会经济效益、可持续影响以及服务对象满意度等情况。</w:t>
      </w:r>
    </w:p>
    <w:p w14:paraId="061352D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1E5D93DA">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5233611E">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w:t>
      </w:r>
      <w:r>
        <w:rPr>
          <w:rFonts w:hint="eastAsia" w:ascii="仿宋_GB2312" w:hAnsi="Times New Roman" w:eastAsia="仿宋_GB2312" w:cs="仿宋_GB2312"/>
          <w:kern w:val="2"/>
          <w:sz w:val="32"/>
          <w:szCs w:val="32"/>
          <w:highlight w:val="none"/>
          <w:lang w:val="en-US" w:eastAsia="zh-CN"/>
        </w:rPr>
        <w:t>鹿邑县五河管理办公室</w:t>
      </w:r>
      <w:r>
        <w:rPr>
          <w:rFonts w:hint="eastAsia" w:ascii="仿宋" w:hAnsi="仿宋" w:eastAsia="仿宋" w:cs="仿宋"/>
          <w:snapToGrid/>
          <w:kern w:val="2"/>
          <w:sz w:val="32"/>
          <w:szCs w:val="32"/>
          <w:highlight w:val="none"/>
          <w:lang w:val="en-US" w:eastAsia="zh-CN" w:bidi="ar-SA"/>
        </w:rPr>
        <w:t>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2C8DC6BA">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103DF48F">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五河管理办公室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0CD207DD">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3F994213">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鹿邑县五河管理办公室2024年没有债务收入支出项目安排。</w:t>
      </w:r>
    </w:p>
    <w:p w14:paraId="5647B2E3">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1A6B3D34">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1755820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6471129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5E02A58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2ACC2C9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1A66363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5D35655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EB9CC9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DBC61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38ADC71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0730030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2ACE96F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6F47D09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4B7CD8A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73C3CE3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附件：鹿邑县五河管理办公室2024年度部门预算表</w:t>
      </w:r>
    </w:p>
    <w:p w14:paraId="077C6CD5">
      <w:pPr>
        <w:jc w:val="left"/>
        <w:rPr>
          <w:rFonts w:hint="eastAsia" w:ascii="仿宋" w:hAnsi="仿宋" w:eastAsia="仿宋" w:cs="仿宋"/>
          <w:color w:val="000000"/>
          <w:kern w:val="0"/>
          <w:sz w:val="21"/>
          <w:szCs w:val="21"/>
          <w:highlight w:val="none"/>
          <w:lang w:val="en-US" w:eastAsia="zh-CN"/>
        </w:rPr>
      </w:pPr>
    </w:p>
    <w:sectPr>
      <w:footerReference r:id="rId5" w:type="default"/>
      <w:pgSz w:w="11905" w:h="16837"/>
      <w:pgMar w:top="1440" w:right="1800" w:bottom="1440" w:left="180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B4BB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F7D658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74uh7wICAAALBAAADgAAAAAAAAABACAAAAAfAQAAZHJzL2Uyb0Rv&#10;Yy54bWxQSwUGAAAAAAYABgBZAQAAkwUAAAAA&#10;">
              <v:fill on="f" focussize="0,0"/>
              <v:stroke on="f"/>
              <v:imagedata o:title=""/>
              <o:lock v:ext="edit" aspectratio="f"/>
              <v:textbox inset="0mm,0mm,0mm,0mm" style="mso-fit-shape-to-text:t;">
                <w:txbxContent>
                  <w:p w14:paraId="1F7D6582">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singleLevel"/>
    <w:tmpl w:val="03D62E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01E83C59"/>
    <w:rsid w:val="105A4552"/>
    <w:rsid w:val="16C45B72"/>
    <w:rsid w:val="2F164BDF"/>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4220\Desktop\&#39044;&#31639;&#20844;&#24320;2024&#40575;&#37009;\&#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84220\Desktop\&#39044;&#31639;&#20844;&#24320;2024&#40575;&#37009;\&#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84220\Desktop\&#39044;&#31639;&#20844;&#24320;2024&#40575;&#37009;\&#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4220\Desktop\&#39044;&#31639;&#20844;&#24320;2024&#40575;&#37009;\&#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84220\Desktop\&#39044;&#31639;&#20844;&#24320;2024&#40575;&#37009;\&#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84220\Desktop\&#39044;&#31639;&#20844;&#24320;2024&#40575;&#37009;\&#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jcl\Desktop\&#40575;&#37009;&#39044;&#31639;&#20844;&#24320;&#22270;&#34920;&#27169;&#26495;(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1215.17</c:v>
                </c:pt>
                <c:pt idx="1" c:formatCode="#,##0.00">
                  <c:v>2032.54</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Lbls>
            <c:dLbl>
              <c:idx val="0"/>
              <c:layout>
                <c:manualLayout>
                  <c:x val="0"/>
                  <c:y val="0.21452837079940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0209495953854931"/>
                  <c:y val="-5.34826351405454e-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7644801140246"/>
                  <c:y val="0.048624895900391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layout>
                <c:manualLayout>
                  <c:x val="0.347650775594255"/>
                  <c:y val="0.055936570863807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#.00"万""元"</c:formatCode>
                <c:ptCount val="4"/>
                <c:pt idx="0">
                  <c:v>344.32</c:v>
                </c:pt>
                <c:pt idx="1">
                  <c:v>870.85</c:v>
                </c:pt>
                <c:pt idx="2" c:formatCode="#0.00&quot;万&quot;&quot;元&quot;">
                  <c:v>0</c:v>
                </c:pt>
                <c:pt idx="3"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231626839076817"/>
                  <c:y val="0.041689725142962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10921052631579"/>
                  <c:y val="0.062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251.39</c:v>
                </c:pt>
                <c:pt idx="1">
                  <c:v>963.78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1215.17</c:v>
                </c:pt>
                <c:pt idx="1" c:formatCode="0.00_ ">
                  <c:v>1136.56</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0</c:v>
                </c:pt>
                <c:pt idx="1" c:formatCode="0.00_ ">
                  <c:v>895.98</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Pt>
            <c:idx val="4"/>
            <c:bubble3D val="0"/>
            <c:spPr>
              <a:solidFill>
                <a:schemeClr val="accent5">
                  <a:lumMod val="60000"/>
                </a:schemeClr>
              </a:solidFill>
              <a:ln>
                <a:solidFill>
                  <a:schemeClr val="bg1"/>
                </a:solidFill>
              </a:ln>
              <a:effectLst/>
            </c:spPr>
          </c:dPt>
          <c:dPt>
            <c:idx val="5"/>
            <c:bubble3D val="0"/>
            <c:spPr>
              <a:solidFill>
                <a:schemeClr val="accent4">
                  <a:lumMod val="60000"/>
                </a:schemeClr>
              </a:solidFill>
              <a:ln>
                <a:solidFill>
                  <a:schemeClr val="bg1"/>
                </a:solidFill>
              </a:ln>
              <a:effectLst/>
            </c:spPr>
          </c:dPt>
          <c:dLbls>
            <c:dLbl>
              <c:idx val="0"/>
              <c:layout>
                <c:manualLayout>
                  <c:x val="0.269815697741347"/>
                  <c:y val="-0.08101951559855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246888866109286"/>
                  <c:y val="0.68964158335120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29322415663675"/>
                  <c:y val="0.030085522073700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619853201147942"/>
                  <c:y val="-0.067953954697363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247042678965831"/>
                  <c:y val="0.024717053549975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城乡社区支出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807.94</c:v>
                </c:pt>
                <c:pt idx="1">
                  <c:v>28.44</c:v>
                </c:pt>
                <c:pt idx="2">
                  <c:v>13.26</c:v>
                </c:pt>
                <c:pt idx="3">
                  <c:v>21.21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332894736842105"/>
                  <c:y val="-0.019352983329561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249.29</c:v>
                </c:pt>
                <c:pt idx="1" c:formatCode="#0.00&quot;万&quot;&quot;元&quot;">
                  <c:v>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'[鹿邑预算公开图表模板(1).xlsx]Sheet1'!$D$174:$E$174</c:f>
              <c:strCache>
                <c:ptCount val="2"/>
                <c:pt idx="0">
                  <c:v>2024年</c:v>
                </c:pt>
                <c:pt idx="1">
                  <c:v>2023年</c:v>
                </c:pt>
              </c:strCache>
            </c:strRef>
          </c:cat>
          <c:val>
            <c:numRef>
              <c:f>'[鹿邑预算公开图表模板(1).xlsx]Sheet1'!$D$175:$E$175</c:f>
              <c:numCache>
                <c:formatCode>0.00_ </c:formatCode>
                <c:ptCount val="2"/>
                <c:pt idx="0">
                  <c:v>0</c:v>
                </c:pt>
                <c:pt idx="1">
                  <c:v>0</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8ebe8-55fa-43f3-b3d0-476220779c12}">
  <ds:schemaRefs/>
</ds:datastoreItem>
</file>

<file path=customXml/itemProps3.xml><?xml version="1.0" encoding="utf-8"?>
<ds:datastoreItem xmlns:ds="http://schemas.openxmlformats.org/officeDocument/2006/customXml" ds:itemID="{c276f46a-924c-4dd0-b01e-cd0b3c850c8a}">
  <ds:schemaRefs/>
</ds:datastoreItem>
</file>

<file path=customXml/itemProps4.xml><?xml version="1.0" encoding="utf-8"?>
<ds:datastoreItem xmlns:ds="http://schemas.openxmlformats.org/officeDocument/2006/customXml" ds:itemID="{c24bdf59-e132-4c32-b804-c0c8fa857242}">
  <ds:schemaRefs/>
</ds:datastoreItem>
</file>

<file path=docProps/app.xml><?xml version="1.0" encoding="utf-8"?>
<Properties xmlns="http://schemas.openxmlformats.org/officeDocument/2006/extended-properties" xmlns:vt="http://schemas.openxmlformats.org/officeDocument/2006/docPropsVTypes">
  <Pages>15</Pages>
  <Words>4069</Words>
  <Characters>4760</Characters>
  <TotalTime>24</TotalTime>
  <ScaleCrop>false</ScaleCrop>
  <LinksUpToDate>false</LinksUpToDate>
  <CharactersWithSpaces>4770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2024-08-17T06:54:40Z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200E82F53F71447097A5B2B22AE52910_13</vt:lpwstr>
  </property>
</Properties>
</file>