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22C5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A2A565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27ED04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729427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223A9F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C30240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40D1F2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55843E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90E7A4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鹿邑县乡村振兴局</w:t>
      </w:r>
    </w:p>
    <w:p w14:paraId="5BBA6B2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0219903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64FA4A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97CCB7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10EBF4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6CDC1F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994822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675565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F6068D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3AA3EA7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5C60F5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3C4C58A0">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z w:val="31"/>
          <w:szCs w:val="31"/>
          <w:highlight w:val="none"/>
        </w:rPr>
        <w:t>鹿邑县乡村振兴局</w:t>
      </w:r>
      <w:r>
        <w:rPr>
          <w:rFonts w:ascii="黑体" w:hAnsi="黑体" w:eastAsia="黑体" w:cs="黑体"/>
          <w:spacing w:val="11"/>
          <w:sz w:val="31"/>
          <w:szCs w:val="31"/>
          <w:highlight w:val="none"/>
        </w:rPr>
        <w:t>概况</w:t>
      </w:r>
    </w:p>
    <w:p w14:paraId="23151E89">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768C10D6">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7B42B94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rPr>
        <w:t>鹿邑县乡村振兴局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596BE3B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第三部分名词解释</w:t>
      </w:r>
    </w:p>
    <w:p w14:paraId="17F36AC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鹿邑县乡村振兴局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5383B164">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1B0CCF4F">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76E65FBF">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1E6600CD">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52E4BDFF">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4666A173">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1B2C6612">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1BE35417">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439E4F3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175A98F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67961058">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607089B7">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EBA7179">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072F7574">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1F4AAEE9">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00B67256">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46EB0D10">
      <w:pPr>
        <w:rPr>
          <w:rFonts w:hint="eastAsia" w:ascii="仿宋" w:hAnsi="仿宋" w:eastAsia="仿宋" w:cs="仿宋"/>
          <w:spacing w:val="8"/>
          <w:sz w:val="31"/>
          <w:szCs w:val="31"/>
          <w:highlight w:val="none"/>
          <w:lang w:val="en-US" w:eastAsia="zh-CN"/>
        </w:rPr>
      </w:pPr>
      <w:r>
        <w:br w:type="page"/>
      </w:r>
    </w:p>
    <w:p w14:paraId="32C76F3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鹿邑县乡村振兴局概况</w:t>
      </w:r>
    </w:p>
    <w:p w14:paraId="4B1047C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12A6F13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26B375D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机构规格属于正科级单位，是主管拟定全县乡村振兴资金分配方案和监督检查乡村振兴开发资金的使用，指导全县乡村振兴开发重点和社会公益事业建设的部门，现内设科室8个，办公室、小额信贷科、项目规划科、督查室、雨露计划科、档案室、信访接待室、信息科。</w:t>
      </w:r>
    </w:p>
    <w:p w14:paraId="20C92BEB">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部门职责</w:t>
      </w:r>
    </w:p>
    <w:p w14:paraId="52ABAB8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1、负责贯彻执行省委和县委、县政府关于乡村振兴工作的各项方针、政策及工作部署。</w:t>
      </w:r>
    </w:p>
    <w:p w14:paraId="2C1AA11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2、参与拟定全县乡村振兴分配方案和监督检查乡村振兴资金的使用，指导全县乡村振兴内部审计工作。</w:t>
      </w:r>
    </w:p>
    <w:p w14:paraId="068A696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3、会同有关部门审核上报乡村振兴重大项目、跨区域项目和专项项目。</w:t>
      </w:r>
    </w:p>
    <w:p w14:paraId="6A97D0F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乡村振兴开发整村推进、连片开发工作，指导全县乡村振兴工作重点乡镇、村基础设施和社会公益事业建设，指导全县贫困村产业化扶贫、小额信贷扶贫和互助资金乡村振兴等工作；协助有关部门做好定点乡村振兴和驻村乡村振兴工作；组织协调社会各界乡村振兴工作，联系协调党政机关、企事业单位、社会团体定点乡村振兴工作；会同有关部门监督检查乡村振兴项目的实施情况。</w:t>
      </w:r>
    </w:p>
    <w:p w14:paraId="34B863D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5、组织指导全县科技乡村振兴工作，协调引进推广先进实用技术。</w:t>
      </w:r>
    </w:p>
    <w:p w14:paraId="1B1BDDF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6、建立和完善乡村振兴信息平台建设工作，按照国务院乡村振兴和省乡村振兴要求，完成信息化建设“一五六”目标，负责中央、省、市、县、乡镇、村信息的沟通，组织业务学习与培训。</w:t>
      </w:r>
    </w:p>
    <w:p w14:paraId="3DD5850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7、实施精准扶贫、精准脱贫，对全县各种乡村振兴台账资料进行指导把关，对年度乡村振兴目标进行分解，确保乡村振兴目标任务按时完成。1</w:t>
      </w:r>
    </w:p>
    <w:p w14:paraId="364973C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5360566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纳入本部门2024年度部门预算编制范围的单位共一个：鹿邑县乡村振兴局本级，无二级预算单位。</w:t>
      </w:r>
    </w:p>
    <w:p w14:paraId="6D4061EC">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37668986">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193F587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鹿邑县乡村振兴局2024年部门预算情况说明</w:t>
      </w:r>
    </w:p>
    <w:p w14:paraId="151C1F0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77AFD18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鹿邑县乡村振兴局2024年收入总计12075.89万元，支出总计12075.89万元，与2023年预算相比，收、支总计增加2454.51万元，增长25.51%，主要原因是：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7505A50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1E7EEF5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194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98306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7A706AA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66AC4D1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鹿邑县乡村振兴局2024年收入合计12075.89万元，其中：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8141.10</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3934.79</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2E125CD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26000" cy="3181350"/>
            <wp:effectExtent l="5080" t="4445" r="7620"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9E39E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6B117C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鹿邑县乡村振兴局2024年支出合计12075.89万元，其中：基本支出151.13万元，占1.25%；项目支出11924.76万元，占98.75%。</w:t>
      </w:r>
    </w:p>
    <w:p w14:paraId="566D959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7C4394C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430270"/>
            <wp:effectExtent l="4445" t="4445" r="15875"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9A31B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3AEA1C8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7EC2D2F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鹿邑县乡村振兴局2024年一般公共预算收支预算12075.89万元，政府性基金收支预算0.00万元，国有资本经营预算0.00万元。与2023年相比，一般公共预算收支预算增加2454.51万元，增长25.51%，主要原因是：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883B97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05D3DA3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244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59E81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1E77E16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480A4579">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鹿邑县乡村振兴局2024年一般公共预算支出年初预算为8141.10万元。其中</w:t>
      </w:r>
      <w:r>
        <w:rPr>
          <w:rFonts w:hint="eastAsia" w:ascii="仿宋" w:hAnsi="仿宋" w:eastAsia="仿宋" w:cs="仿宋"/>
          <w:sz w:val="32"/>
          <w:szCs w:val="32"/>
          <w:highlight w:val="none"/>
          <w:lang w:val="en-US" w:eastAsia="zh-CN"/>
        </w:rPr>
        <w:t>基本支出151.13万元，占1.86%；项目支出7989.97万元，占98.14%</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40B17311">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1、一般公共服务支出</w:t>
      </w:r>
      <w:r>
        <w:rPr>
          <w:rFonts w:hint="eastAsia" w:ascii="仿宋" w:hAnsi="仿宋" w:eastAsia="仿宋" w:cs="仿宋"/>
          <w:sz w:val="32"/>
          <w:szCs w:val="32"/>
          <w:lang w:val="en-US" w:eastAsia="zh-CN"/>
        </w:rPr>
        <w:t>116.31</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1.43</w:t>
      </w:r>
      <w:r>
        <w:rPr>
          <w:rFonts w:hint="eastAsia" w:ascii="仿宋" w:hAnsi="仿宋" w:eastAsia="仿宋" w:cs="仿宋"/>
          <w:sz w:val="32"/>
          <w:szCs w:val="32"/>
        </w:rPr>
        <w:t>%。其中：政府办公厅（室）及相关机构事务</w:t>
      </w:r>
      <w:r>
        <w:rPr>
          <w:rFonts w:hint="eastAsia" w:ascii="仿宋" w:hAnsi="仿宋" w:eastAsia="仿宋" w:cs="仿宋"/>
          <w:kern w:val="0"/>
          <w:sz w:val="32"/>
          <w:szCs w:val="32"/>
        </w:rPr>
        <w:t>（款）</w:t>
      </w:r>
      <w:r>
        <w:rPr>
          <w:rFonts w:hint="eastAsia" w:ascii="仿宋" w:hAnsi="仿宋" w:eastAsia="仿宋" w:cs="仿宋"/>
          <w:sz w:val="32"/>
          <w:szCs w:val="32"/>
        </w:rPr>
        <w:t>行政运行（项）支出</w:t>
      </w:r>
      <w:r>
        <w:rPr>
          <w:rFonts w:hint="eastAsia" w:ascii="仿宋" w:hAnsi="仿宋" w:eastAsia="仿宋" w:cs="仿宋"/>
          <w:color w:val="000000"/>
          <w:sz w:val="32"/>
          <w:szCs w:val="32"/>
          <w:lang w:val="en-US" w:eastAsia="zh-CN"/>
        </w:rPr>
        <w:t>116.31</w:t>
      </w:r>
      <w:r>
        <w:rPr>
          <w:rFonts w:hint="eastAsia" w:ascii="仿宋" w:hAnsi="仿宋" w:eastAsia="仿宋" w:cs="仿宋"/>
          <w:sz w:val="32"/>
          <w:szCs w:val="32"/>
        </w:rPr>
        <w:t>元。</w:t>
      </w:r>
    </w:p>
    <w:p w14:paraId="4BE6A0EA">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2、社会保障和就业支出</w:t>
      </w:r>
      <w:r>
        <w:rPr>
          <w:rFonts w:hint="eastAsia" w:ascii="仿宋" w:hAnsi="仿宋" w:eastAsia="仿宋" w:cs="仿宋"/>
          <w:sz w:val="32"/>
          <w:szCs w:val="32"/>
          <w:lang w:val="en-US" w:eastAsia="zh-CN"/>
        </w:rPr>
        <w:t>17.86</w:t>
      </w:r>
      <w:r>
        <w:rPr>
          <w:rFonts w:hint="eastAsia" w:ascii="仿宋" w:hAnsi="仿宋" w:eastAsia="仿宋" w:cs="仿宋"/>
          <w:sz w:val="32"/>
          <w:szCs w:val="32"/>
        </w:rPr>
        <w:t>万元，占0.2</w:t>
      </w:r>
      <w:r>
        <w:rPr>
          <w:rFonts w:hint="eastAsia" w:ascii="仿宋" w:hAnsi="仿宋" w:eastAsia="仿宋" w:cs="仿宋"/>
          <w:sz w:val="32"/>
          <w:szCs w:val="32"/>
          <w:lang w:val="en-US" w:eastAsia="zh-CN"/>
        </w:rPr>
        <w:t>2</w:t>
      </w:r>
      <w:r>
        <w:rPr>
          <w:rFonts w:hint="eastAsia" w:ascii="仿宋" w:hAnsi="仿宋" w:eastAsia="仿宋" w:cs="仿宋"/>
          <w:sz w:val="32"/>
          <w:szCs w:val="32"/>
        </w:rPr>
        <w:t>%。其中：行政事业单位养老支出（款）机关事业单位基本养老保险缴费（项）支出16.</w:t>
      </w:r>
      <w:r>
        <w:rPr>
          <w:rFonts w:hint="eastAsia" w:ascii="仿宋" w:hAnsi="仿宋" w:eastAsia="仿宋" w:cs="仿宋"/>
          <w:sz w:val="32"/>
          <w:szCs w:val="32"/>
          <w:lang w:val="en-US" w:eastAsia="zh-CN"/>
        </w:rPr>
        <w:t>89</w:t>
      </w:r>
      <w:r>
        <w:rPr>
          <w:rFonts w:hint="eastAsia" w:ascii="仿宋" w:hAnsi="仿宋" w:eastAsia="仿宋" w:cs="仿宋"/>
          <w:sz w:val="32"/>
          <w:szCs w:val="32"/>
        </w:rPr>
        <w:t>万元；其他社会保障和就业支出（款）其他社会保</w:t>
      </w:r>
      <w:r>
        <w:rPr>
          <w:rFonts w:hint="eastAsia" w:ascii="仿宋" w:hAnsi="仿宋" w:eastAsia="仿宋" w:cs="仿宋"/>
          <w:kern w:val="0"/>
          <w:sz w:val="32"/>
          <w:szCs w:val="32"/>
        </w:rPr>
        <w:t>障和就业支出（项）</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.97</w:t>
      </w:r>
      <w:r>
        <w:rPr>
          <w:rFonts w:hint="eastAsia" w:ascii="仿宋" w:hAnsi="仿宋" w:eastAsia="仿宋" w:cs="仿宋"/>
          <w:color w:val="000000"/>
          <w:sz w:val="32"/>
          <w:szCs w:val="32"/>
        </w:rPr>
        <w:t>万元。</w:t>
      </w:r>
    </w:p>
    <w:p w14:paraId="646304CF">
      <w:pPr>
        <w:spacing w:line="592"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3、卫生健康支出</w:t>
      </w:r>
      <w:r>
        <w:rPr>
          <w:rFonts w:hint="eastAsia" w:ascii="仿宋" w:hAnsi="仿宋" w:eastAsia="仿宋" w:cs="仿宋"/>
          <w:color w:val="000000"/>
          <w:sz w:val="32"/>
          <w:szCs w:val="32"/>
        </w:rPr>
        <w:t>6.</w:t>
      </w:r>
      <w:r>
        <w:rPr>
          <w:rFonts w:hint="eastAsia" w:ascii="仿宋" w:hAnsi="仿宋" w:eastAsia="仿宋" w:cs="仿宋"/>
          <w:color w:val="000000"/>
          <w:sz w:val="32"/>
          <w:szCs w:val="32"/>
          <w:lang w:val="en-US" w:eastAsia="zh-CN"/>
        </w:rPr>
        <w:t>96</w:t>
      </w:r>
      <w:r>
        <w:rPr>
          <w:rFonts w:hint="eastAsia" w:ascii="仿宋" w:hAnsi="仿宋" w:eastAsia="仿宋" w:cs="仿宋"/>
          <w:sz w:val="32"/>
          <w:szCs w:val="32"/>
        </w:rPr>
        <w:t>万元，占0.</w:t>
      </w:r>
      <w:r>
        <w:rPr>
          <w:rFonts w:hint="eastAsia" w:ascii="仿宋" w:hAnsi="仿宋" w:eastAsia="仿宋" w:cs="仿宋"/>
          <w:color w:val="000000"/>
          <w:sz w:val="32"/>
          <w:szCs w:val="32"/>
          <w:lang w:val="en-US" w:eastAsia="zh-CN"/>
        </w:rPr>
        <w:t>09</w:t>
      </w:r>
      <w:r>
        <w:rPr>
          <w:rFonts w:hint="eastAsia" w:ascii="仿宋" w:hAnsi="仿宋" w:eastAsia="仿宋" w:cs="仿宋"/>
          <w:sz w:val="32"/>
          <w:szCs w:val="32"/>
        </w:rPr>
        <w:t>%。其中：行政事业单位医疗支出</w:t>
      </w:r>
      <w:r>
        <w:rPr>
          <w:rFonts w:hint="eastAsia" w:ascii="仿宋" w:hAnsi="仿宋" w:eastAsia="仿宋" w:cs="仿宋"/>
          <w:kern w:val="0"/>
          <w:sz w:val="32"/>
          <w:szCs w:val="32"/>
        </w:rPr>
        <w:t>（款）</w:t>
      </w:r>
      <w:r>
        <w:rPr>
          <w:rFonts w:hint="eastAsia" w:ascii="仿宋" w:hAnsi="仿宋" w:eastAsia="仿宋" w:cs="仿宋"/>
          <w:sz w:val="32"/>
          <w:szCs w:val="32"/>
        </w:rPr>
        <w:t>行政单位医疗（项）支出</w:t>
      </w: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39</w:t>
      </w:r>
      <w:r>
        <w:rPr>
          <w:rFonts w:hint="eastAsia" w:ascii="仿宋" w:hAnsi="仿宋" w:eastAsia="仿宋" w:cs="仿宋"/>
          <w:sz w:val="32"/>
          <w:szCs w:val="32"/>
        </w:rPr>
        <w:t>万元；行政事业单位医疗支出</w:t>
      </w:r>
      <w:r>
        <w:rPr>
          <w:rFonts w:hint="eastAsia" w:ascii="仿宋" w:hAnsi="仿宋" w:eastAsia="仿宋" w:cs="仿宋"/>
          <w:kern w:val="0"/>
          <w:sz w:val="32"/>
          <w:szCs w:val="32"/>
        </w:rPr>
        <w:t>（款）</w:t>
      </w:r>
      <w:r>
        <w:rPr>
          <w:rFonts w:hint="eastAsia" w:ascii="仿宋" w:hAnsi="仿宋" w:eastAsia="仿宋" w:cs="仿宋"/>
          <w:sz w:val="32"/>
          <w:szCs w:val="32"/>
        </w:rPr>
        <w:t>事业单位医疗支出（项）支出</w:t>
      </w:r>
      <w:r>
        <w:rPr>
          <w:rFonts w:hint="eastAsia" w:ascii="仿宋" w:hAnsi="仿宋" w:eastAsia="仿宋" w:cs="仿宋"/>
          <w:color w:val="000000"/>
          <w:sz w:val="32"/>
          <w:szCs w:val="32"/>
          <w:lang w:val="en-US" w:eastAsia="zh-CN"/>
        </w:rPr>
        <w:t>4.40</w:t>
      </w:r>
      <w:r>
        <w:rPr>
          <w:rFonts w:hint="eastAsia" w:ascii="仿宋" w:hAnsi="仿宋" w:eastAsia="仿宋" w:cs="仿宋"/>
          <w:sz w:val="32"/>
          <w:szCs w:val="32"/>
        </w:rPr>
        <w:t>万元；行政事业单位医疗支出</w:t>
      </w:r>
      <w:r>
        <w:rPr>
          <w:rFonts w:hint="eastAsia" w:ascii="仿宋" w:hAnsi="仿宋" w:eastAsia="仿宋" w:cs="仿宋"/>
          <w:kern w:val="0"/>
          <w:sz w:val="32"/>
          <w:szCs w:val="32"/>
        </w:rPr>
        <w:t>（款）其他行政事业单位医疗（项）支出0.1</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万元。</w:t>
      </w:r>
    </w:p>
    <w:p w14:paraId="57CDD319">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4、农林水支出</w:t>
      </w:r>
      <w:r>
        <w:rPr>
          <w:rFonts w:hint="eastAsia" w:ascii="仿宋" w:hAnsi="仿宋" w:eastAsia="仿宋" w:cs="仿宋"/>
          <w:color w:val="000000"/>
          <w:sz w:val="32"/>
          <w:szCs w:val="32"/>
          <w:lang w:val="en-US" w:eastAsia="zh-CN"/>
        </w:rPr>
        <w:t>7988.11</w:t>
      </w:r>
      <w:r>
        <w:rPr>
          <w:rFonts w:hint="eastAsia" w:ascii="仿宋" w:hAnsi="仿宋" w:eastAsia="仿宋" w:cs="仿宋"/>
          <w:sz w:val="32"/>
          <w:szCs w:val="32"/>
        </w:rPr>
        <w:t>万元，占</w:t>
      </w:r>
      <w:r>
        <w:rPr>
          <w:rFonts w:hint="eastAsia" w:ascii="仿宋" w:hAnsi="仿宋" w:eastAsia="仿宋" w:cs="仿宋"/>
          <w:color w:val="000000"/>
          <w:sz w:val="32"/>
          <w:szCs w:val="32"/>
        </w:rPr>
        <w:t>9</w:t>
      </w:r>
      <w:r>
        <w:rPr>
          <w:rFonts w:hint="eastAsia" w:ascii="仿宋" w:hAnsi="仿宋" w:eastAsia="仿宋" w:cs="仿宋"/>
          <w:color w:val="000000"/>
          <w:sz w:val="32"/>
          <w:szCs w:val="32"/>
          <w:lang w:val="en-US" w:eastAsia="zh-CN"/>
        </w:rPr>
        <w:t>8.12</w:t>
      </w:r>
      <w:r>
        <w:rPr>
          <w:rFonts w:hint="eastAsia" w:ascii="仿宋" w:hAnsi="仿宋" w:eastAsia="仿宋" w:cs="仿宋"/>
          <w:sz w:val="32"/>
          <w:szCs w:val="32"/>
        </w:rPr>
        <w:t>%。其中：巩固脱贫攻坚成果衔接乡村振兴</w:t>
      </w:r>
      <w:r>
        <w:rPr>
          <w:rFonts w:hint="eastAsia" w:ascii="仿宋" w:hAnsi="仿宋" w:eastAsia="仿宋" w:cs="仿宋"/>
          <w:kern w:val="0"/>
          <w:sz w:val="32"/>
          <w:szCs w:val="32"/>
        </w:rPr>
        <w:t>（款）</w:t>
      </w:r>
      <w:r>
        <w:rPr>
          <w:rFonts w:hint="eastAsia" w:ascii="仿宋" w:hAnsi="仿宋" w:eastAsia="仿宋" w:cs="仿宋"/>
          <w:sz w:val="32"/>
          <w:szCs w:val="32"/>
        </w:rPr>
        <w:t>行政运行（项）支出</w:t>
      </w:r>
      <w:r>
        <w:rPr>
          <w:rFonts w:hint="eastAsia" w:ascii="仿宋" w:hAnsi="仿宋" w:eastAsia="仿宋" w:cs="仿宋"/>
          <w:color w:val="000000"/>
          <w:sz w:val="32"/>
          <w:szCs w:val="32"/>
          <w:lang w:val="en-US" w:eastAsia="zh-CN"/>
        </w:rPr>
        <w:t>144.00</w:t>
      </w:r>
      <w:r>
        <w:rPr>
          <w:rFonts w:hint="eastAsia" w:ascii="仿宋" w:hAnsi="仿宋" w:eastAsia="仿宋" w:cs="仿宋"/>
          <w:sz w:val="32"/>
          <w:szCs w:val="32"/>
        </w:rPr>
        <w:t>万元；巩固脱贫攻坚成果衔接乡村振兴</w:t>
      </w:r>
      <w:r>
        <w:rPr>
          <w:rFonts w:hint="eastAsia" w:ascii="仿宋" w:hAnsi="仿宋" w:eastAsia="仿宋" w:cs="仿宋"/>
          <w:kern w:val="0"/>
          <w:sz w:val="32"/>
          <w:szCs w:val="32"/>
        </w:rPr>
        <w:t>（款）</w:t>
      </w:r>
      <w:r>
        <w:rPr>
          <w:rFonts w:hint="eastAsia" w:ascii="仿宋" w:hAnsi="仿宋" w:eastAsia="仿宋" w:cs="仿宋"/>
          <w:sz w:val="32"/>
          <w:szCs w:val="32"/>
        </w:rPr>
        <w:t>其他巩固脱贫攻坚成果衔接乡村振兴（项）支出</w:t>
      </w:r>
      <w:r>
        <w:rPr>
          <w:rFonts w:hint="eastAsia" w:ascii="仿宋" w:hAnsi="仿宋" w:eastAsia="仿宋" w:cs="仿宋"/>
          <w:color w:val="000000"/>
          <w:sz w:val="32"/>
          <w:szCs w:val="32"/>
          <w:lang w:val="en-US" w:eastAsia="zh-CN"/>
        </w:rPr>
        <w:t>7844.11</w:t>
      </w:r>
      <w:r>
        <w:rPr>
          <w:rFonts w:hint="eastAsia" w:ascii="仿宋" w:hAnsi="仿宋" w:eastAsia="仿宋" w:cs="仿宋"/>
          <w:sz w:val="32"/>
          <w:szCs w:val="32"/>
        </w:rPr>
        <w:t>万元。</w:t>
      </w:r>
    </w:p>
    <w:p w14:paraId="28E7A5EC">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5、住房保障支出</w:t>
      </w:r>
      <w:r>
        <w:rPr>
          <w:rFonts w:hint="eastAsia" w:ascii="仿宋" w:hAnsi="仿宋" w:eastAsia="仿宋" w:cs="仿宋"/>
          <w:color w:val="000000"/>
          <w:sz w:val="32"/>
          <w:szCs w:val="32"/>
        </w:rPr>
        <w:t>11.</w:t>
      </w:r>
      <w:r>
        <w:rPr>
          <w:rFonts w:hint="eastAsia" w:ascii="仿宋" w:hAnsi="仿宋" w:eastAsia="仿宋" w:cs="仿宋"/>
          <w:color w:val="000000"/>
          <w:sz w:val="32"/>
          <w:szCs w:val="32"/>
          <w:lang w:val="en-US" w:eastAsia="zh-CN"/>
        </w:rPr>
        <w:t>86</w:t>
      </w:r>
      <w:r>
        <w:rPr>
          <w:rFonts w:hint="eastAsia" w:ascii="仿宋" w:hAnsi="仿宋" w:eastAsia="仿宋" w:cs="仿宋"/>
          <w:sz w:val="32"/>
          <w:szCs w:val="32"/>
        </w:rPr>
        <w:t>万元，占</w:t>
      </w:r>
      <w:r>
        <w:rPr>
          <w:rFonts w:hint="eastAsia" w:ascii="仿宋" w:hAnsi="仿宋" w:eastAsia="仿宋" w:cs="仿宋"/>
          <w:color w:val="000000"/>
          <w:sz w:val="32"/>
          <w:szCs w:val="32"/>
        </w:rPr>
        <w:t>0.1</w:t>
      </w:r>
      <w:r>
        <w:rPr>
          <w:rFonts w:hint="eastAsia" w:ascii="仿宋" w:hAnsi="仿宋" w:eastAsia="仿宋" w:cs="仿宋"/>
          <w:color w:val="000000"/>
          <w:sz w:val="32"/>
          <w:szCs w:val="32"/>
          <w:lang w:val="en-US" w:eastAsia="zh-CN"/>
        </w:rPr>
        <w:t>5</w:t>
      </w:r>
      <w:r>
        <w:rPr>
          <w:rFonts w:hint="eastAsia" w:ascii="仿宋" w:hAnsi="仿宋" w:eastAsia="仿宋" w:cs="仿宋"/>
          <w:sz w:val="32"/>
          <w:szCs w:val="32"/>
        </w:rPr>
        <w:t>%。其中：住房改革支出</w:t>
      </w:r>
      <w:r>
        <w:rPr>
          <w:rFonts w:hint="eastAsia" w:ascii="仿宋" w:hAnsi="仿宋" w:eastAsia="仿宋" w:cs="仿宋"/>
          <w:kern w:val="0"/>
          <w:sz w:val="32"/>
          <w:szCs w:val="32"/>
        </w:rPr>
        <w:t>（款）</w:t>
      </w:r>
      <w:r>
        <w:rPr>
          <w:rFonts w:hint="eastAsia" w:ascii="仿宋" w:hAnsi="仿宋" w:eastAsia="仿宋" w:cs="仿宋"/>
          <w:sz w:val="32"/>
          <w:szCs w:val="32"/>
        </w:rPr>
        <w:t>住房公积金（项）支出</w:t>
      </w:r>
      <w:r>
        <w:rPr>
          <w:rFonts w:hint="eastAsia" w:ascii="仿宋" w:hAnsi="仿宋" w:eastAsia="仿宋" w:cs="仿宋"/>
          <w:color w:val="000000"/>
          <w:sz w:val="32"/>
          <w:szCs w:val="32"/>
        </w:rPr>
        <w:t>11.</w:t>
      </w:r>
      <w:r>
        <w:rPr>
          <w:rFonts w:hint="eastAsia" w:ascii="仿宋" w:hAnsi="仿宋" w:eastAsia="仿宋" w:cs="仿宋"/>
          <w:color w:val="000000"/>
          <w:sz w:val="32"/>
          <w:szCs w:val="32"/>
          <w:lang w:val="en-US" w:eastAsia="zh-CN"/>
        </w:rPr>
        <w:t>86</w:t>
      </w:r>
      <w:r>
        <w:rPr>
          <w:rFonts w:hint="eastAsia" w:ascii="仿宋" w:hAnsi="仿宋" w:eastAsia="仿宋" w:cs="仿宋"/>
          <w:sz w:val="32"/>
          <w:szCs w:val="32"/>
        </w:rPr>
        <w:t>万元。</w:t>
      </w:r>
    </w:p>
    <w:p w14:paraId="76204991">
      <w:pPr>
        <w:spacing w:line="240" w:lineRule="auto"/>
        <w:ind w:firstLine="0" w:firstLineChars="0"/>
        <w:jc w:val="center"/>
      </w:pPr>
      <w:r>
        <w:drawing>
          <wp:inline distT="0" distB="0" distL="114300" distR="114300">
            <wp:extent cx="4876800" cy="3323590"/>
            <wp:effectExtent l="4445" t="4445" r="8255" b="1206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69D2EB">
      <w:pPr>
        <w:spacing w:line="240" w:lineRule="auto"/>
        <w:ind w:firstLine="0" w:firstLineChars="0"/>
        <w:jc w:val="center"/>
        <w:rPr>
          <w:rFonts w:hint="eastAsia"/>
        </w:rPr>
      </w:pPr>
    </w:p>
    <w:p w14:paraId="7BFC29F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5434434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鹿邑县乡村振兴局2024年一般公共预算基本支出年初预算为151.13万元，其中：人员经费支出143.28万元，占94.81%；公用经费支出7.85万元，占5.19%。</w:t>
      </w:r>
    </w:p>
    <w:p w14:paraId="1D1DB68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34A5D88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45050" cy="3253740"/>
            <wp:effectExtent l="5080" t="4445" r="13970" b="571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58AF0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44E56E3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一般公共预算基本支出年初预算为151.13万元，其中：人员经费支出143.28万元，占94.81%；主要包括：基本工资72.95万元、津贴补贴12.91万元、奖金4.87万元、绩效工资15.87万元、机关事业单位基本养老保险缴费16.89万元、医疗保险缴费6.79万元、其他社会保障缴费1.14万元、住房公积金11.86万元；公用经费支出7.85万元，占5.19%。主要包括：办公费2.70万元、其他交通费用5.15万元。</w:t>
      </w:r>
    </w:p>
    <w:p w14:paraId="1B251F3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2C034A2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鹿邑县乡村振兴局2024年机构运行经费支出预算7.85万元，主要保障机关机构正常运转及正常履职需要的办公费、水电费、物业费、维修费、差旅费等支出，与2023年相比减少1.08万元，下降12.09%，主要原因：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61BB8BF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04696CF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乡村振兴局2024年预算支出12075.89万元，其中：301工资福利支出181.61万元，主要包括：基本工资75.61万元、津贴补贴13.66万元、奖金4.87万元、绩效工资16.84万元、基本养老保险缴费24.20万元、医疗保险缴费6.79万元、其他社会保障缴费1.14万元、住房公积金11.86万元、其他工资福利性支出26.64万元；302商品和服务支出884.40万元，主要包括：办公费68.86万元、公务接待费5.00万元、公务用车运行维护费15.00万元、租赁费14.48万元、培训费20.56万元、其他商品服务支出755.35万元、其他交通费用5.15万元；310资本性支出3327.98万元，主要包括：其他资本性支出3327.98万元等；399其他支出7681.90万元，主要包括：其他支出7681.90万元等。</w:t>
      </w:r>
    </w:p>
    <w:p w14:paraId="2D3E8EF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02A8294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鹿邑县乡村振兴局2024年“三公”经费预算为20.00万元。2024年“三公”经费支出预算数较2023年持平。</w:t>
      </w:r>
    </w:p>
    <w:p w14:paraId="59D660D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08AF462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3FF40A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(二)公务用车购置及运行费15.00万元，其中，公务用车购置费0.00万元，主要用于单位公务用车购置支出（含车辆购置税、牌照费），较2023年持平，主要原因是：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；公务用车运行维护费15.00万元，主要用于开展工作所需公务用车的燃料费、维修费、过路过桥费、保险费、安全奖励费用等支出，较2023年持平，主要原因是：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197D30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(三)公务接待费5.00万元，主要用于按规定开支的各类公务接待(含外宾接待)支出。预算数较2023持平，主要原因是：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B04B07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45990" cy="28194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540C6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32C662D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5ECB11E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鹿邑县乡村振兴局2024年无政府性基金预算拨款安排的支出。</w:t>
      </w:r>
    </w:p>
    <w:p w14:paraId="45805B5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1B2AD63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鹿邑县乡村振兴局2024年无国有资本经营预算拨款安排的支出。</w:t>
      </w:r>
    </w:p>
    <w:p w14:paraId="276B3DC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3B649F3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鹿邑县乡村振兴局</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27D57B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227C645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鹿邑县乡村振兴局</w:t>
      </w:r>
      <w:r>
        <w:rPr>
          <w:rFonts w:hint="eastAsia" w:ascii="仿宋" w:hAnsi="仿宋" w:eastAsia="仿宋" w:cs="仿宋"/>
          <w:snapToGrid/>
          <w:kern w:val="2"/>
          <w:sz w:val="32"/>
          <w:szCs w:val="32"/>
          <w:highlight w:val="none"/>
          <w:lang w:val="en-US" w:eastAsia="zh-CN" w:bidi="ar-SA"/>
        </w:rPr>
        <w:t>纳入预算绩效管理的支出总额为12075.89万元，其中：人员经费支出143.28万元，公用经费支出7.85万元，项目支出总额11,924.76万元。支出项目共48个，其中：预算支出100万元及100万元以上的重点项目12个，支出总额16224.95万元。均按要求编制了绩效目标，从项目产出、项目效益、满意度等方面设置了绩效指标，综合反映项目预期完成的数量、实效、质量，预期达到的社会经济效益、可持续影响以及服务对象满意度等情况。</w:t>
      </w:r>
    </w:p>
    <w:p w14:paraId="27FBB26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71946AD2">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7F3D6E92">
      <w:pPr>
        <w:kinsoku w:val="0"/>
        <w:overflowPunct w:val="0"/>
        <w:autoSpaceDE w:val="0"/>
        <w:autoSpaceDN w:val="0"/>
        <w:adjustRightInd w:val="0"/>
        <w:snapToGrid w:val="0"/>
        <w:spacing w:line="580" w:lineRule="exact"/>
        <w:ind w:firstLine="640" w:firstLineChars="200"/>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鹿邑县乡村振兴局</w:t>
      </w:r>
      <w:r>
        <w:rPr>
          <w:rFonts w:hint="eastAsia" w:ascii="仿宋" w:hAnsi="仿宋" w:eastAsia="仿宋" w:cs="仿宋"/>
          <w:color w:val="000000"/>
          <w:kern w:val="0"/>
          <w:sz w:val="32"/>
          <w:szCs w:val="32"/>
        </w:rPr>
        <w:t>固定资产总额</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万元，其中，房屋建筑物</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万元，车辆</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万元，办公设备</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万元。车辆共有</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辆，其中：一般公务用车</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辆，执法执勤车</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辆，</w:t>
      </w:r>
      <w:r>
        <w:rPr>
          <w:rFonts w:hint="eastAsia" w:ascii="仿宋" w:hAnsi="仿宋" w:eastAsia="仿宋" w:cs="仿宋"/>
          <w:sz w:val="32"/>
          <w:szCs w:val="32"/>
        </w:rPr>
        <w:t>其他用车</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sz w:val="32"/>
          <w:szCs w:val="32"/>
        </w:rPr>
        <w:t>辆</w:t>
      </w:r>
      <w:r>
        <w:rPr>
          <w:rFonts w:hint="eastAsia" w:ascii="仿宋" w:hAnsi="仿宋" w:eastAsia="仿宋" w:cs="仿宋"/>
          <w:color w:val="000000"/>
          <w:kern w:val="0"/>
          <w:sz w:val="32"/>
          <w:szCs w:val="32"/>
        </w:rPr>
        <w:t>；</w:t>
      </w:r>
      <w:r>
        <w:rPr>
          <w:rFonts w:hint="eastAsia" w:ascii="仿宋" w:hAnsi="仿宋" w:eastAsia="仿宋" w:cs="仿宋"/>
          <w:color w:val="000000"/>
          <w:sz w:val="32"/>
          <w:szCs w:val="32"/>
        </w:rPr>
        <w:t>单价50万元以上通用设备</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sz w:val="32"/>
          <w:szCs w:val="32"/>
        </w:rPr>
        <w:t>台（套），单位价值100万元以上专用设备</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sz w:val="32"/>
          <w:szCs w:val="32"/>
        </w:rPr>
        <w:t>台（套）。</w:t>
      </w:r>
    </w:p>
    <w:p w14:paraId="68109823">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5B4AEA1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乡村振兴局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22666E87">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4323EEDC">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snapToGrid/>
          <w:kern w:val="2"/>
          <w:sz w:val="32"/>
          <w:szCs w:val="32"/>
          <w:highlight w:val="none"/>
          <w:lang w:val="en-US" w:eastAsia="zh-CN" w:bidi="ar-SA"/>
        </w:rPr>
        <w:t>鹿邑县乡村振兴局</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年没有债务收入支出项目安排。</w:t>
      </w:r>
    </w:p>
    <w:p w14:paraId="23903D46">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420" w:firstLineChars="20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 w:hAnsi="仿宋" w:eastAsia="仿宋" w:cs="仿宋"/>
        </w:rPr>
        <w:br w:type="page"/>
      </w:r>
    </w:p>
    <w:p w14:paraId="2589FB6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66707E8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29A276E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2014169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6287A68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316F7FB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6F5E512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62172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84F1C1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31464CD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232981B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4EA490F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6A201C5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D6C092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1762879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附件：鹿邑县乡村振兴局2024年度部门预算表</w:t>
      </w:r>
    </w:p>
    <w:p w14:paraId="059C64F7">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701" w:bottom="1440" w:left="1701"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82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48140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TWgICAgAACwQAAA4AAABkcnMvZTJvRG9jLnhtbK1TwY7TMBC9I/EP&#10;lu80bQ9QRU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Zom4c2cMycstfz8/dv5x6/z&#10;z69slgzqfCgp795vcdwFgklt36BNX9LB+mzq6Wqq6iOTFJwt5ovFlPyWdHbZEE/x8LvHEN8rsCyB&#10;iiN1LZspjrchDqmXlHSbg402huKiNO6PAHGmSJEqHmpMKPa7fix8B/WJ9CIMgxC83Gi681aEuBVI&#10;nac66W3EO1oaA13FYUSctYBf/hVP+dQQOuWso0mquKOHw5n54KhRaeguAC9gdwHuYN8BjeaMM4wm&#10;Q/pBOEl0FY+cHTzqfZurTUqDf3uIJD+7krQNgkbJNCPZ13Ge0xA+3ueshze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1lNaAgICAAALBAAADgAAAAAAAAABACAAAAAfAQAAZHJzL2Uyb0Rv&#10;Yy54bWxQSwUGAAAAAAYABgBZAQAAkwUAAAAA&#10;">
              <v:fill on="f" focussize="0,0"/>
              <v:stroke on="f"/>
              <v:imagedata o:title=""/>
              <o:lock v:ext="edit" aspectratio="f"/>
              <v:textbox inset="0mm,0mm,0mm,0mm" style="mso-fit-shape-to-text:t;">
                <w:txbxContent>
                  <w:p w14:paraId="348140BA">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5B433E46"/>
    <w:rsid w:val="5D8F53AB"/>
    <w:rsid w:val="6001554C"/>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jcl\Desktop\&#40575;&#37009;&#39044;&#31639;&#20844;&#24320;&#22270;&#34920;&#27169;&#26495;(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manualLayout>
          <c:layoutTarget val="inner"/>
          <c:xMode val="edge"/>
          <c:yMode val="edge"/>
          <c:x val="0.101072961373391"/>
          <c:y val="0.171621621621622"/>
          <c:w val="0.867811158798283"/>
          <c:h val="0.719459459459459"/>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12075.89</c:v>
                </c:pt>
                <c:pt idx="1" c:formatCode="#.00&quot;万&quot;&quot;元&quot;">
                  <c:v>9621.379746</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1873431669414"/>
                  <c:y val="-0.13036177321874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443940716653716"/>
                  <c:y val="0.0573388755057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47650775594255"/>
                  <c:y val="0.055936570863807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'[鹿邑预算公开图表模板(1).xlsx]Sheet1'!$D$20:$G$20</c:f>
              <c:strCache>
                <c:ptCount val="4"/>
                <c:pt idx="0">
                  <c:v>上年结转结余收入</c:v>
                </c:pt>
                <c:pt idx="1">
                  <c:v>一般公共预算</c:v>
                </c:pt>
                <c:pt idx="2">
                  <c:v>政府性基金</c:v>
                </c:pt>
                <c:pt idx="3">
                  <c:v>国有资本经营</c:v>
                </c:pt>
              </c:strCache>
            </c:strRef>
          </c:cat>
          <c:val>
            <c:numRef>
              <c:f>'[鹿邑预算公开图表模板(1).xlsx]Sheet1'!$D$21:$G$21</c:f>
              <c:numCache>
                <c:formatCode>#.00"万""元"</c:formatCode>
                <c:ptCount val="4"/>
                <c:pt idx="0">
                  <c:v>3934.79</c:v>
                </c:pt>
                <c:pt idx="1">
                  <c:v>8141.1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151.13</c:v>
                </c:pt>
                <c:pt idx="1">
                  <c:v>11924.76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12075.89</c:v>
                </c:pt>
                <c:pt idx="1">
                  <c:v>9621.379746</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765625"/>
          <c:y val="0.0067084417812203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7166767099995"/>
                  <c:y val="-0.05273213603362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19122212104173"/>
                    </c:manualLayout>
                  </c15:layout>
                </c:ext>
              </c:extLst>
            </c:dLbl>
            <c:dLbl>
              <c:idx val="1"/>
              <c:layout>
                <c:manualLayout>
                  <c:x val="-0.401048515837141"/>
                  <c:y val="0.23723225776982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4405155050136"/>
                    </c:manualLayout>
                  </c15:layout>
                </c:ext>
              </c:extLst>
            </c:dLbl>
            <c:dLbl>
              <c:idx val="2"/>
              <c:layout>
                <c:manualLayout>
                  <c:x val="-0.405466406544182"/>
                  <c:y val="-0.04220802638744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300488157894737"/>
                      <c:h val="0.205973786328321"/>
                    </c:manualLayout>
                  </c15:layout>
                </c:ext>
              </c:extLst>
            </c:dLbl>
            <c:dLbl>
              <c:idx val="3"/>
              <c:layout>
                <c:manualLayout>
                  <c:x val="0.333916124537465"/>
                  <c:y val="0.1784901665840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219921054192288"/>
                    </c:manualLayout>
                  </c15:layout>
                </c:ext>
              </c:extLst>
            </c:dLbl>
            <c:dLbl>
              <c:idx val="4"/>
              <c:layout>
                <c:manualLayout>
                  <c:x val="-0.396875"/>
                  <c:y val="-0.06573138161631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[鹿邑预算公开图表模板.xlsx]Sheet1!$D$120:$D$125</c:f>
              <c:strCache>
                <c:ptCount val="6"/>
                <c:pt idx="0">
                  <c:v>一般公共服务支出</c:v>
                </c:pt>
                <c:pt idx="1">
                  <c:v>社会保障和就业支出</c:v>
                </c:pt>
                <c:pt idx="2">
                  <c:v>卫生健康支出</c:v>
                </c:pt>
                <c:pt idx="3">
                  <c:v>住房保障支出</c:v>
                </c:pt>
                <c:pt idx="4" c:formatCode="#.00&quot;万&quot;&quot;元&quot;">
                  <c:v>农林水支出</c:v>
                </c:pt>
              </c:strCache>
            </c:strRef>
          </c:cat>
          <c:val>
            <c:numRef>
              <c:f>[鹿邑预算公开图表模板.xlsx]Sheet1!$E$120:$E$125</c:f>
              <c:numCache>
                <c:formatCode>#.00"万""元"</c:formatCode>
                <c:ptCount val="6"/>
                <c:pt idx="0">
                  <c:v>116.31</c:v>
                </c:pt>
                <c:pt idx="1">
                  <c:v>17.86</c:v>
                </c:pt>
                <c:pt idx="2">
                  <c:v>6.96</c:v>
                </c:pt>
                <c:pt idx="3">
                  <c:v>11.86</c:v>
                </c:pt>
                <c:pt idx="4">
                  <c:v>7988.11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4479166666667"/>
          <c:y val="0.87237294612151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95000888102337"/>
                  <c:y val="-9.01203628391724e-1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348998150324641"/>
                  <c:y val="-0.014414742369745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[鹿邑预算公开图表模板.xlsx]Sheet1!$D$145:$D$146</c:f>
              <c:strCache>
                <c:ptCount val="2"/>
                <c:pt idx="0">
                  <c:v>人员经费</c:v>
                </c:pt>
                <c:pt idx="1">
                  <c:v>公用经费</c:v>
                </c:pt>
              </c:strCache>
            </c:strRef>
          </c:cat>
          <c:val>
            <c:numRef>
              <c:f>[鹿邑预算公开图表模板.xlsx]Sheet1!$E$145:$E$146</c:f>
              <c:numCache>
                <c:formatCode>#.00"万""元"</c:formatCode>
                <c:ptCount val="2"/>
                <c:pt idx="0">
                  <c:v>143.28</c:v>
                </c:pt>
                <c:pt idx="1">
                  <c:v>7.85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manualLayout>
          <c:xMode val="edge"/>
          <c:yMode val="edge"/>
          <c:x val="0.245651592186246"/>
          <c:y val="0.027027027027027"/>
        </c:manualLayout>
      </c:layout>
      <c:overlay val="0"/>
      <c:spPr>
        <a:noFill/>
        <a:ln>
          <a:noFill/>
        </a:ln>
        <a:effectLst/>
      </c:spPr>
    </c:title>
    <c:autoTitleDeleted val="0"/>
    <c:plotArea>
      <c:layout>
        <c:manualLayout>
          <c:layoutTarget val="inner"/>
          <c:xMode val="edge"/>
          <c:yMode val="edge"/>
          <c:x val="0.0796895905806797"/>
          <c:y val="0.168918918918919"/>
          <c:w val="0.892480599411292"/>
          <c:h val="0.719459459459459"/>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[鹿邑预算公开图表模板.xlsx]Sheet1!$D$191:$E$191</c:f>
              <c:strCache>
                <c:ptCount val="2"/>
                <c:pt idx="0">
                  <c:v>2024年</c:v>
                </c:pt>
                <c:pt idx="1">
                  <c:v>2023年</c:v>
                </c:pt>
              </c:strCache>
            </c:strRef>
          </c:cat>
          <c:val>
            <c:numRef>
              <c:f>[鹿邑预算公开图表模板.xlsx]Sheet1!$D$192:$E$192</c:f>
              <c:numCache>
                <c:formatCode>0.00_ </c:formatCode>
                <c:ptCount val="2"/>
                <c:pt idx="0">
                  <c:v>20</c:v>
                </c:pt>
                <c:pt idx="1">
                  <c:v>20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2847d-3c4a-48a2-b847-a835b2df6f71}">
  <ds:schemaRefs/>
</ds:datastoreItem>
</file>

<file path=customXml/itemProps3.xml><?xml version="1.0" encoding="utf-8"?>
<ds:datastoreItem xmlns:ds="http://schemas.openxmlformats.org/officeDocument/2006/customXml" ds:itemID="{e185674a-aeb0-4cb3-87a4-5c94655035d4}">
  <ds:schemaRefs/>
</ds:datastoreItem>
</file>

<file path=customXml/itemProps4.xml><?xml version="1.0" encoding="utf-8"?>
<ds:datastoreItem xmlns:ds="http://schemas.openxmlformats.org/officeDocument/2006/customXml" ds:itemID="{2f03eb30-f026-4c50-bad5-068031bd1e1e}">
  <ds:schemaRefs/>
</ds:datastoreItem>
</file>

<file path=docProps/app.xml><?xml version="1.0" encoding="utf-8"?>
<Properties xmlns="http://schemas.openxmlformats.org/officeDocument/2006/extended-properties" xmlns:vt="http://schemas.openxmlformats.org/officeDocument/2006/docPropsVTypes">
  <Pages>15</Pages>
  <Words>4375</Words>
  <Characters>5094</Characters>
  <TotalTime>18</TotalTime>
  <ScaleCrop>false</ScaleCrop>
  <LinksUpToDate>false</LinksUpToDate>
  <CharactersWithSpaces>5094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2024-08-19T09:39:25Z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