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4B1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6A5424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C11530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F376D1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CD233A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265EDF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51722C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C04B5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0B0FBF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鹿邑县住房和城乡建设监察大队</w:t>
      </w:r>
    </w:p>
    <w:p w14:paraId="669542C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76DEF49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772991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0365D7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7B1414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C70881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A966E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C91067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4797F7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6977B86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73704C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鹿邑县住房和城乡建设监察大队</w:t>
      </w:r>
      <w:r>
        <w:rPr>
          <w:rFonts w:ascii="黑体" w:hAnsi="黑体" w:eastAsia="黑体" w:cs="黑体"/>
          <w:spacing w:val="11"/>
          <w:sz w:val="31"/>
          <w:szCs w:val="31"/>
          <w:highlight w:val="none"/>
        </w:rPr>
        <w:t>概况</w:t>
      </w:r>
    </w:p>
    <w:p w14:paraId="33684D69">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5E2442A7">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790C599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鹿邑县住房和城乡建设监察大队</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7CE705D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A9619E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鹿邑县住房和城乡建设监察大队</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054BD229">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5F5D7486">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69F379C1">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0D845210">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2660C423">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79733C0">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1EED92D">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064EB9AB">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7C4EAB1">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6119836D">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052B4BC">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100E5332">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C500078">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52D383DC">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4F847FA7">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6601A984">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D4675FB">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hint="eastAsia" w:ascii="仿宋" w:hAnsi="仿宋" w:eastAsia="仿宋" w:cs="仿宋"/>
          <w:spacing w:val="8"/>
          <w:sz w:val="31"/>
          <w:szCs w:val="31"/>
          <w:highlight w:val="none"/>
          <w:lang w:val="en-US" w:eastAsia="zh-CN"/>
        </w:rPr>
      </w:pPr>
      <w:r>
        <w:br w:type="page"/>
      </w:r>
    </w:p>
    <w:p w14:paraId="76D7033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鹿邑县住房和城乡建设监察大队概况</w:t>
      </w:r>
    </w:p>
    <w:p w14:paraId="729691C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25C555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（一）机构设置情况</w:t>
      </w:r>
    </w:p>
    <w:p w14:paraId="4324150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yellow"/>
          <w:lang w:val="en-US" w:eastAsia="zh-CN" w:bidi="ar-SA"/>
        </w:rPr>
        <w:t>鹿邑县住房和城乡建设监察大队是鹿邑县住房和城乡建设局下属二级机构，机构规格为正股级，公益1类事业单位，共有事业编制50人，其中：大队长1人；副大队长2人。</w:t>
      </w:r>
    </w:p>
    <w:p w14:paraId="703506C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（二）单位职责：</w:t>
      </w:r>
    </w:p>
    <w:p w14:paraId="40E5F28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1、贯彻执行有关住房和城乡建设的法律、法规、规章和政策，组织实施住房和城乡建设行政执法监察规章和相关制度。</w:t>
      </w:r>
    </w:p>
    <w:p w14:paraId="1FABC47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2、负责住房和城乡建设行政执法监督，指导监督协调住房和城乡建设系统各行政执法队伍的执法业务工作。</w:t>
      </w:r>
    </w:p>
    <w:p w14:paraId="38B9FCB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住房和城乡建设领域违法违规行为的执法监察，组织实施上级部署的有关住房和城乡建设执法监察工作，开展住房和城乡建设综合性执法检查工作；协同局有关单位组织开展专项执法检查工作，并依法对上述执法检查中发现的违法违规案件进行查处。</w:t>
      </w:r>
    </w:p>
    <w:p w14:paraId="6BC7D97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4、负责法律、法规、规章规定的县住房和城乡建设局行使的行政处罚职能以及相关的行政强制、监督检查职能，执行局做出的行政处罚决定。</w:t>
      </w:r>
    </w:p>
    <w:p w14:paraId="786530A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5、负责建立全县住房和城乡建设行政执法监察举报系统，受理对违法违规行为的举报；负责受理案件的查处、转办、督办等工作。</w:t>
      </w:r>
    </w:p>
    <w:p w14:paraId="1078E50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6、负责全县住房和城乡建设行政执法监察统计工作。</w:t>
      </w:r>
    </w:p>
    <w:p w14:paraId="2B2A5AE2">
      <w:pPr>
        <w:autoSpaceDE w:val="0"/>
        <w:autoSpaceDN w:val="0"/>
        <w:adjustRightInd w:val="0"/>
        <w:ind w:firstLine="320" w:firstLineChars="100"/>
        <w:jc w:val="left"/>
        <w:rPr>
          <w:rFonts w:ascii="黑体" w:eastAsia="黑体" w:cs="黑体"/>
          <w:kern w:val="0"/>
          <w:sz w:val="32"/>
          <w:szCs w:val="32"/>
        </w:rPr>
      </w:pPr>
      <w:r>
        <w:rPr>
          <w:rFonts w:hint="eastAsia" w:ascii="黑体" w:eastAsia="黑体" w:cs="黑体"/>
          <w:kern w:val="0"/>
          <w:sz w:val="32"/>
          <w:szCs w:val="32"/>
        </w:rPr>
        <w:t>二、</w:t>
      </w:r>
      <w:r>
        <w:rPr>
          <w:rFonts w:hint="eastAsia" w:ascii="黑体" w:eastAsia="黑体" w:cs="黑体"/>
          <w:kern w:val="0"/>
          <w:sz w:val="32"/>
          <w:szCs w:val="32"/>
          <w:lang w:eastAsia="zh-CN"/>
        </w:rPr>
        <w:t>鹿邑县住房和城乡建设监察大队单位</w:t>
      </w:r>
      <w:r>
        <w:rPr>
          <w:rFonts w:hint="eastAsia" w:ascii="黑体" w:eastAsia="黑体" w:cs="黑体"/>
          <w:kern w:val="0"/>
          <w:sz w:val="32"/>
          <w:szCs w:val="32"/>
        </w:rPr>
        <w:t>预算单位构成</w:t>
      </w:r>
    </w:p>
    <w:p w14:paraId="7C2C9AF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本预算构成为鹿邑县住房和城乡建设监察大队本级预算。</w:t>
      </w:r>
    </w:p>
    <w:p w14:paraId="734D5CB2">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76084B2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鹿邑县住房和城乡建设监察大队2024年单位预算情况说明</w:t>
      </w:r>
    </w:p>
    <w:p w14:paraId="743AB1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242537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鹿邑县住房和城乡建设监察大队单位2024年收入总计455.25万元，支出总计455.25万元，与2023年预算相比，收、支总计持平，主要原因是：</w:t>
      </w:r>
      <w:r>
        <w:rPr>
          <w:rFonts w:hint="eastAsia" w:ascii="仿宋" w:hAnsi="仿宋" w:eastAsia="仿宋" w:cs="仿宋"/>
          <w:snapToGrid/>
          <w:kern w:val="2"/>
          <w:sz w:val="32"/>
          <w:szCs w:val="32"/>
          <w:highlight w:val="yellow"/>
          <w:lang w:val="en-US" w:eastAsia="zh-CN" w:bidi="ar-SA"/>
        </w:rPr>
        <w:t>******。</w:t>
      </w:r>
    </w:p>
    <w:p w14:paraId="2C33549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183505" cy="3133725"/>
            <wp:effectExtent l="4445" t="4445" r="6350" b="1143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F1C2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6DF20E8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鹿邑县住房和城乡建设监察大队单位2024年收入合计455.25万元，其中：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455.25</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41E1A09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272405" cy="3513455"/>
            <wp:effectExtent l="4445" t="4445" r="6350" b="1270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DE110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5D4E53C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鹿邑县住房和城乡建设监察大队单位2024年支出合计455.25万元，其中：基本支出455.25万元，占100.00%；项目支出0.00万元，占0.00%。</w:t>
      </w:r>
    </w:p>
    <w:p w14:paraId="70BA75D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64785" cy="3702685"/>
            <wp:effectExtent l="5080" t="4445" r="13335" b="1397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6A6D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p>
    <w:p w14:paraId="223A3FF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2FE4945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鹿邑县住房和城乡建设监察大队单位2024年一般公共预算收支预算455.25万元，政府性基金收支预算0.00万元，国有资本经营预算0.00万元。与2023年相比，一般公共预算收支预算持平，主要原因是：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412ABAD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219700" cy="2844800"/>
            <wp:effectExtent l="4445" t="4445" r="18415" b="1587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B3B23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184140" cy="2867660"/>
            <wp:effectExtent l="4445" t="4445" r="8255" b="825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B39E38">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p>
    <w:p w14:paraId="565C6F2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8F4940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鹿邑县住房和城乡建设监察大队单位2024年一般公共预算支出年初预算为455.25万元。其中</w:t>
      </w:r>
      <w:r>
        <w:rPr>
          <w:rFonts w:hint="eastAsia" w:ascii="仿宋" w:hAnsi="仿宋" w:eastAsia="仿宋" w:cs="仿宋"/>
          <w:sz w:val="32"/>
          <w:szCs w:val="32"/>
          <w:highlight w:val="none"/>
          <w:lang w:val="en-US" w:eastAsia="zh-CN"/>
        </w:rPr>
        <w:t>基本支出455.25万元，占100.00%</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67CF735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1.社会保障和就业支出16.76万元，占3.68%。其中：行政事业单位养老支出（款）机关事业单位基本养老保险缴费支出（项）16.76万元。</w:t>
      </w:r>
    </w:p>
    <w:p w14:paraId="258710F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2.卫生健康支出1.17万元，占0.26%。其中：行政事业单位医疗（款）事业单位医疗（项）1.17万元。</w:t>
      </w:r>
    </w:p>
    <w:p w14:paraId="372A8CA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3.城乡社区支出431.38万元，占94.76%。其中：城乡社区管理事务（款）行政运行（项）5.00万元，城乡社区管理事务（款）一般行政管理事务426.38万元。</w:t>
      </w:r>
    </w:p>
    <w:p w14:paraId="15B1BE2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4.住房保障支出5.94万元，占1.30%。其中：住房保障支出（款）住房公积金（项）5.94万元。</w:t>
      </w:r>
    </w:p>
    <w:p w14:paraId="4A940E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kern w:val="0"/>
          <w:sz w:val="32"/>
          <w:szCs w:val="32"/>
          <w:lang w:val="en-US" w:eastAsia="zh-CN"/>
        </w:rPr>
      </w:pPr>
      <w:r>
        <w:drawing>
          <wp:inline distT="0" distB="0" distL="114300" distR="114300">
            <wp:extent cx="5208270" cy="3371850"/>
            <wp:effectExtent l="4445" t="4445" r="6985"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92FB2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5209D07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鹿邑县住房和城乡建设监察大队单位2024年一般公共预算基本支出年初预算为455.25万元，其中：人员经费支出450.25万元，占98.90%；公用经费支出5.00万元，占1.10%。</w:t>
      </w:r>
    </w:p>
    <w:p w14:paraId="1126659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65420" cy="3265170"/>
            <wp:effectExtent l="4445" t="4445" r="1333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46647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2FDAA28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一般公共预算基本支出年初预算为455.25万元，其中：人员经费支出450.25万元，占98.90%；主要包括：基本工资414.36万元、津贴补贴6.25万元、绩效工资5.47万元、机关事业单位基本养老保险缴费16.76万元、医疗保险缴费1.17万元、住房公积金5.94万元。公用经费支出5.00万元，占1.10%。其他交通费用5.00万元。</w:t>
      </w:r>
    </w:p>
    <w:p w14:paraId="77904AC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068243D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F35B3A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鹿邑县住房和城乡建设监察大队2024年单位机构运行经费支出预算5.00万元，主要保障机关机构正常运转及正常履职需要的办公费、水电费、物业费、维修费、差旅费等支出，与2023年相比持平，主要原因：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5A94FD8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55CC671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住房和城乡建设监察大队2024年单位预算支出455.25万元，其中：301工资福利支出450.25万元，主要包括：基本工资414.36万元、津贴补贴6.55万元、社绩效工资5.47万元、基本养老保险缴费16.76万元、医疗保险缴费1.17万元、住房公积金5.94万元；302商品和服务支出5.00万元，主要包括：其他交通费用5.00万元。</w:t>
      </w:r>
    </w:p>
    <w:p w14:paraId="6DC47DD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71F400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05D9131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463988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427D76F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034741F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(三)公务接待费0.00万元，主要用于按规定开支的各类公务接待(含外宾接待)支出。预算数较2023年持平，主要原因是：</w:t>
      </w:r>
      <w:r>
        <w:rPr>
          <w:rFonts w:hint="eastAsia" w:ascii="仿宋" w:hAnsi="仿宋" w:eastAsia="仿宋" w:cs="仿宋"/>
          <w:snapToGrid/>
          <w:kern w:val="2"/>
          <w:sz w:val="32"/>
          <w:szCs w:val="32"/>
          <w:highlight w:val="yellow"/>
          <w:lang w:val="en-US" w:eastAsia="zh-CN" w:bidi="ar-SA"/>
        </w:rPr>
        <w:t>******。</w:t>
      </w:r>
    </w:p>
    <w:p w14:paraId="0E206C6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977765" cy="3190875"/>
            <wp:effectExtent l="4445" t="4445" r="8890" b="508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7A197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7E9DDF4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鹿邑县住房和城乡建设监察大队2024年无政府性基金预算拨款安排的支出。</w:t>
      </w:r>
    </w:p>
    <w:p w14:paraId="6330745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5058E3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鹿邑县住房和城乡建设监察大队2024年无国有资本经营预算拨款安排的支出。</w:t>
      </w:r>
    </w:p>
    <w:p w14:paraId="4E976B0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277B9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2847E69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3DA5DB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305714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455.25万元，其中：人员经费支出450.25万元，公用经费支出5.00万元，项目支出总额0.00万元。支出项目共0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30F3BE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B7982C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仿宋_GB2312" w:hAnsi="仿宋_GB2312" w:eastAsia="仿宋_GB2312" w:cs="仿宋_GB2312"/>
          <w:b/>
          <w:sz w:val="32"/>
          <w:szCs w:val="32"/>
          <w:lang w:val="en-US" w:eastAsia="zh-CN"/>
        </w:rPr>
      </w:pPr>
      <w:r>
        <w:rPr>
          <w:rFonts w:hint="eastAsia" w:ascii="楷体" w:hAnsi="楷体" w:eastAsia="楷体" w:cs="Times New Roman"/>
          <w:snapToGrid/>
          <w:spacing w:val="-2"/>
          <w:kern w:val="2"/>
          <w:sz w:val="32"/>
          <w:szCs w:val="32"/>
          <w:highlight w:val="none"/>
          <w:lang w:val="en-US" w:eastAsia="zh-CN" w:bidi="ar-SA"/>
        </w:rPr>
        <w:t>(一)</w:t>
      </w:r>
      <w:r>
        <w:rPr>
          <w:rFonts w:hint="eastAsia" w:ascii="仿宋_GB2312" w:hAnsi="仿宋_GB2312" w:eastAsia="仿宋_GB2312" w:cs="仿宋_GB2312"/>
          <w:b/>
          <w:sz w:val="32"/>
          <w:szCs w:val="32"/>
          <w:lang w:val="en-US" w:eastAsia="zh-CN"/>
        </w:rPr>
        <w:t>国有资产占用情况</w:t>
      </w:r>
    </w:p>
    <w:p w14:paraId="3EB19D1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544EE4BC">
      <w:pPr>
        <w:spacing w:line="592"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）专项转移支付资金使用情况</w:t>
      </w:r>
    </w:p>
    <w:p w14:paraId="1AEEF96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鹿邑县住房和城乡建设监察大队2024年无负责管理的专项转移支付资金。</w:t>
      </w:r>
    </w:p>
    <w:p w14:paraId="214BBCD2">
      <w:pPr>
        <w:spacing w:line="592"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）债务收入支出项目情况</w:t>
      </w:r>
    </w:p>
    <w:p w14:paraId="3B44005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鹿邑县住房和城乡建设监察大队2024年没有政府性债务收入安排的支出项目。</w:t>
      </w:r>
    </w:p>
    <w:p w14:paraId="5F1106D2">
      <w:pPr>
        <w:rPr>
          <w:rFonts w:hint="eastAsia" w:ascii="黑体" w:hAnsi="黑体" w:eastAsia="黑体" w:cs="黑体"/>
          <w:spacing w:val="19"/>
          <w:sz w:val="31"/>
          <w:szCs w:val="31"/>
          <w:highlight w:val="none"/>
        </w:rPr>
      </w:pPr>
      <w:r>
        <w:rPr>
          <w:rFonts w:hint="eastAsia" w:ascii="黑体" w:hAnsi="黑体" w:eastAsia="黑体" w:cs="黑体"/>
          <w:spacing w:val="19"/>
          <w:sz w:val="31"/>
          <w:szCs w:val="31"/>
          <w:highlight w:val="none"/>
        </w:rPr>
        <w:br w:type="page"/>
      </w:r>
    </w:p>
    <w:p w14:paraId="157332C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4D2554A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1A01AAB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35A0B1F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4F69F78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EC89A1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2BE9134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E5D3ED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4517AF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7A36F8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408A2E0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B8C787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9E2B70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0232786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3A090F4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附件：鹿邑县住房和城乡建设监察大队2024年度单位预算表</w:t>
      </w:r>
    </w:p>
    <w:p w14:paraId="30550E7C">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43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7C0C6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0n8BAgAACg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v55x5oSljp+/fzv/+HX+&#10;+ZXNkj+dDyWl3fstjrtAMIntG7TpSzJYnz09XT1VfWSSgrPFfLGYkt2Szi4b4ikefvcY4nsFliVQ&#10;caSmZS/F8TbEIfWSkm5zsNHGUFyUxv0RIM4UKVLFQ40JxX7Xj4XvoD6RXIRhDoKXG0133ooQtwKp&#10;8VQnPY14R0tjoKs4jIizFvDLv+Ipn/pBp5x1NEgVd/RuODMfHPUpzdwF4AXsLsAd7DugySTrMZoM&#10;6QfhJNFVPHJ28Kj3ba42KQ3+7SGS/OxK0jYIGiXTiGRfx3FOM/h4n7MenvD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Ej9J/AQIAAAoEAAAOAAAAAAAAAAEAIAAAAB8BAABkcnMvZTJvRG9j&#10;LnhtbFBLBQYAAAAABgAGAFkBAACSBQAAAAA=&#10;">
              <v:fill on="f" focussize="0,0"/>
              <v:stroke on="f"/>
              <v:imagedata o:title=""/>
              <o:lock v:ext="edit" aspectratio="f"/>
              <v:textbox inset="0mm,0mm,0mm,0mm" style="mso-fit-shape-to-text:t;">
                <w:txbxContent>
                  <w:p w14:paraId="27C0C61E">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6481A94"/>
    <w:rsid w:val="169E79E0"/>
    <w:rsid w:val="24A02AE8"/>
    <w:rsid w:val="4DF01066"/>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6158;&#21551;&#32418;\Desktop\&#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455.25</c:v>
                </c:pt>
                <c:pt idx="1" c:formatCode="#.00&quot;万&quot;&quot;元&quot;">
                  <c:v>455.25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302892432348287"/>
                  <c:y val="0.060900322699154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上年结转结余收入</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70266291984477"/>
                  <c:y val="-0.14370038672908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20089590030762"/>
                  <c:y val="0.10472279260780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35888625456734"/>
                  <c:y val="0.65268487059588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0</c:v>
                </c:pt>
                <c:pt idx="1">
                  <c:v>455.25</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40819988282395"/>
                  <c:y val="0.047139830508474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455.25</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455.25</c:v>
                </c:pt>
                <c:pt idx="1" c:formatCode="#.00&quot;万&quot;&quot;元&quot;">
                  <c:v>455.25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6267897765288"/>
          <c:y val="0.171954022988506"/>
          <c:w val="0.844292787367858"/>
          <c:h val="0.71365517241379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282449524363371"/>
                  <c:y val="-0.22686796512993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78701524327161"/>
                  <c:y val="0.55867262636411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308986017369134"/>
                  <c:y val="0.06812488015406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5541934532202"/>
                  <c:y val="0.047339972544778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77923026793027"/>
                  <c:y val="-0.261250730566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城乡社区支出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431.38</c:v>
                </c:pt>
                <c:pt idx="1">
                  <c:v>16.76</c:v>
                </c:pt>
                <c:pt idx="2">
                  <c:v>1.17</c:v>
                </c:pt>
                <c:pt idx="3">
                  <c:v>5.94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5438482525659"/>
          <c:y val="0.863627508279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450.25</c:v>
                </c:pt>
                <c:pt idx="1" c:formatCode="#0.00&quot;万&quot;&quot;元&quot;">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c:formatCode>
                <c:ptCount val="2"/>
                <c:pt idx="0">
                  <c:v>0</c:v>
                </c:pt>
                <c:pt idx="1" c:formatCode="0.00_ ">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eb5c8-7012-4d89-9eab-11254aefae6f}">
  <ds:schemaRefs/>
</ds:datastoreItem>
</file>

<file path=customXml/itemProps3.xml><?xml version="1.0" encoding="utf-8"?>
<ds:datastoreItem xmlns:ds="http://schemas.openxmlformats.org/officeDocument/2006/customXml" ds:itemID="{7502e767-c99c-42ef-86ff-744d5e618161}">
  <ds:schemaRefs/>
</ds:datastoreItem>
</file>

<file path=customXml/itemProps4.xml><?xml version="1.0" encoding="utf-8"?>
<ds:datastoreItem xmlns:ds="http://schemas.openxmlformats.org/officeDocument/2006/customXml" ds:itemID="{a7205ae8-97e8-4470-9525-4c8f8cb79dfd}">
  <ds:schemaRefs/>
</ds:datastoreItem>
</file>

<file path=docProps/app.xml><?xml version="1.0" encoding="utf-8"?>
<Properties xmlns="http://schemas.openxmlformats.org/officeDocument/2006/extended-properties" xmlns:vt="http://schemas.openxmlformats.org/officeDocument/2006/docPropsVTypes">
  <Pages>15</Pages>
  <Words>3900</Words>
  <Characters>4435</Characters>
  <TotalTime>7</TotalTime>
  <ScaleCrop>false</ScaleCrop>
  <LinksUpToDate>false</LinksUpToDate>
  <CharactersWithSpaces>4444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2024-08-22T02:35:30Z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