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6BA4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4A895D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CBB92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7C77BA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4D4AE9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0D277C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F83898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B00A48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A5270C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鹿邑县总工会（汇总）</w:t>
      </w:r>
    </w:p>
    <w:p w14:paraId="501425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5C5107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47457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C0E7B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45E1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A2F2D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97FA9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E82B0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722AD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168C99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B5DC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2E3CCC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鹿邑县总工会（汇总）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214D10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54A39A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0D204E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鹿邑县总工会（汇总）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490973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256076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鹿邑县总工会（汇总）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799A39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3A115D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23E4A8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58A270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33694F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5220D6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356B2D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479689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31A0B5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76CFD7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54B07F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397CC7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466829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3E3D5E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71E719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6CF99B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2DBE1696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3DAD30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鹿邑县总工会（汇总）概况</w:t>
      </w:r>
    </w:p>
    <w:p w14:paraId="4AB86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445671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61A1AB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是群团组织，正科级行政单位，总工会机关内设11个部室，分别为办公室、基层工作部、劳动经济保障部、法律权益保障部、网络宣传部、女职工部、财务资产管理部、经费审查委员会办公室、职工学校、职工俱乐部、困难职工帮扶中心。</w:t>
      </w:r>
    </w:p>
    <w:p w14:paraId="466341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345A5F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1.创新职工建功立业载体方式；</w:t>
      </w:r>
    </w:p>
    <w:p w14:paraId="6A61B8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2.健全职工维权制度机制；</w:t>
      </w:r>
    </w:p>
    <w:p w14:paraId="78CBCD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3.加强工会和职工服务体系建设；</w:t>
      </w:r>
    </w:p>
    <w:p w14:paraId="24C5B7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4.做强基层夯实基础；</w:t>
      </w:r>
    </w:p>
    <w:p w14:paraId="1F987D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5.转变工会运行机制和工作方式；</w:t>
      </w:r>
    </w:p>
    <w:p w14:paraId="1AF074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6.利用党政资源更好推进工会工作。</w:t>
      </w:r>
    </w:p>
    <w:p w14:paraId="6AFCF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4C50DC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本部门预算构成包括鹿邑县总工会（本级）和两个二级机构：</w:t>
      </w:r>
    </w:p>
    <w:p w14:paraId="6E5432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鹿邑县总工会（本级）</w:t>
      </w:r>
    </w:p>
    <w:p w14:paraId="3BCEF66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鹿邑县职工学校</w:t>
      </w:r>
    </w:p>
    <w:p w14:paraId="0A4745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鹿邑县总工会职工俱乐部</w:t>
      </w:r>
    </w:p>
    <w:p w14:paraId="25F7230A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775879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鹿邑县总工会（汇总）2024年单位预算情况说明</w:t>
      </w:r>
    </w:p>
    <w:p w14:paraId="49139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32542E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鹿邑县总工会（汇总）单位2024年收入总计1324.59万元，支出总计1324.59万元，与2023年预算相比，收、支总计减少121.84万元，下降8.42%，主要原因是：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2D65C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E575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45A350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鹿邑县总工会（汇总）单位2024年收入合计1324.59万元，其中：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1168.53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156.06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6C7DAF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AAB2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5B2A5A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鹿邑县总工会（汇总）单位2024年支出合计1324.59万元，其中：基本支出155.64万元，占11.75%；项目支出1168.96万元，占88.25%。</w:t>
      </w:r>
    </w:p>
    <w:p w14:paraId="09D90A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03C0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7599E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3DEFF3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鹿邑县总工会（汇总）单位2024年一般公共预算收支预算1324.59万元，政府性基金收支预算0.00万元，国有资本经营预算0.00万元。与2023年相比，一般公共预算收支预算减少121.84万元，下降8.42%，主要原因是：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10CC6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4AC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29B21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鹿邑县总工会（汇总）单位2024年一般公共预算支出年初预算为1324.59万元。其中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基本支出155.64万元，占11.75%；项目支出1168.96万元，占88.25%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0901EA0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一般公共服务支出1289.53万元，占97.35%。其中：群众团体事务（款）行政运行（项）44.60万元；群众团体事务（款）工会事务（项）1168.96万元；群众团体事务（款）事业运行（项）75.97万元；</w:t>
      </w:r>
    </w:p>
    <w:p w14:paraId="5799257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社会保障和就业支出14.02万元，占1.06%。其中：行政事业单位养老支出（款）机关事业单位基本养老保险缴费支出（项）12.36万元；其他社会保障和就业支出（款）其他社会保障和就业支出（项）1.66万元；</w:t>
      </w:r>
    </w:p>
    <w:p w14:paraId="71C2E55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卫生健康支出11.42万元，占0.86%。其中：行政事业单位医疗（款）行政单位医疗（项）1.95万元；行政事业单位医疗（款）事业单位医疗（项）3.21万元；行政事业单位医疗（款）其他行政事业单位医疗支出（项）6.26万元；</w:t>
      </w:r>
    </w:p>
    <w:p w14:paraId="0E2DC28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住房保障支出9.63万元，占0.73%。其中：住房改革支出（款）住房公积金（项）9.63万元。</w:t>
      </w:r>
    </w:p>
    <w:p w14:paraId="3F5E2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A89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3B0948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鹿邑县总工会（汇总）单位2024年一般公共预算基本支出年初预算为155.64万元，其中：人员经费支出147.24万元，占94.60%；公用经费支出8.40万元，占5.40%。</w:t>
      </w:r>
    </w:p>
    <w:p w14:paraId="5FC5A6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32804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5C0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282FF0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汇总）单位2024年一般公共预算基本支出年初预算为155.64万元，其中：人员经费支出147.24万元，占94.60%；主要包括：基本工资120.19万元、津贴补贴7.66万元、奖金4.24万元、机关事业单位基本养老保险缴费4.80万元、职工基本医疗保险缴费1.95万元、其他社会保障缴费4.71万元、住房公积金3.60万元、退休费0.09万元。公用经费支出8.40万元，占5.40%。主要包括：办公费1.50万元、公务用车运行维护费3.00万元、其他交通费用3.90万元。</w:t>
      </w:r>
    </w:p>
    <w:p w14:paraId="755B64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5175EB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鹿邑县总工会（汇总）2024年单位机构运行经费支出预算8.40万元，主要保障机关机构正常运转及正常履职需要的办公费、水电费、物业费、维修费、差旅费等支出，与2023年相比减少0.54万元，下降6.04%，主要原因：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35EBB4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544976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总工会（汇总）2024年单位预算支出1324.59万元，其中：301工资福利支出257.25万元，主要包括：基本工资196.29万元、津贴补贴7.66万元、奖金4.24万元、机关事业单位基本养老保险缴费38.80万元、职工基本医疗保险缴费1.95万元、其他社会保障缴费4.71万元、住房公积金3.60万元；302商品和服务支出1045.81万元，主要包括：办公费53.05万元、电费20.80万元、工会经费902.09万元、福利费60.85万元、公务用车运行维护费5.12万元、其他交通费用3.90万元；303对个人和家庭的补助支出21.53万元，主要包括：退休费0.09万元、抚恤金21.44万元。</w:t>
      </w:r>
    </w:p>
    <w:p w14:paraId="0619B2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4EFC61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鹿邑县总工会（汇总）单位2024年“三公”经费预算为3.00万元。2024年“三公”经费支出预算数较2023年减少0.31万元，主要原因是：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*****。</w:t>
      </w:r>
    </w:p>
    <w:p w14:paraId="0911826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23859B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*****。</w:t>
      </w:r>
    </w:p>
    <w:p w14:paraId="6183D5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；公务用车运行维护费3.00万元，主要用于开展工作所需公务用车的燃料费、维修费、过路过桥费、保险费、安全奖励费用等支出，较2023年持平，主要原因是：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A8023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(三)公务接待费0.00万元，主要用于按规定开支的各类公务接待(含外宾接待)支出。预算数较2023减少0.31万元，主要原因是：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EFE7C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29718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C38F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41A753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鹿邑县总工会（汇总）2024年无政府性基金预算拨款安排的支出。</w:t>
      </w:r>
    </w:p>
    <w:p w14:paraId="6AFD5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5E714F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鹿邑县总工会（汇总）2024年无国有资本经营预算拨款安排的支出。</w:t>
      </w:r>
    </w:p>
    <w:p w14:paraId="0CCA5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7C20B3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501FE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32D741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1324.59万元，其中：人员经费支出万147.24元，公用经费8.40支出万元，项目支出总额1168.96万元。支出项目共14个，其中：预算支出100万元及100万元以上的重点项目2个，支出总额802.09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42184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13A746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2AED22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2023年期末，我单位共有固定资产总额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万元。车辆共有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辆，执法执勤车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台（套），单位价值100万元以上专用设备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台（套）。</w:t>
      </w:r>
    </w:p>
    <w:p w14:paraId="64EF96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55670B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鹿邑县总工会（汇总）单位负责管理的</w:t>
      </w:r>
      <w:bookmarkStart w:id="0" w:name="_GoBack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专项转移支付项目共有0项，我单位无负责管理的专项转移支付项目资金</w:t>
      </w:r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。我单位将按照《预算法》等有关规定,积极做好项目分配前期准备工作，在规定的时间内向财政部门提出资金分配意见，根据有关要求做好项目申报公开等相关工作。</w:t>
      </w:r>
    </w:p>
    <w:p w14:paraId="158984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14520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鹿邑县总工会2024年无债务收入支出项目安排。</w:t>
      </w:r>
      <w:r>
        <w:br w:type="page"/>
      </w:r>
    </w:p>
    <w:p w14:paraId="706A2F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358BF97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15DA3B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43DABB7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60AA95D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57F422D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40DAC68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72DE70E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36422B0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2732EDE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587CCDA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1BF2D38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164D2F2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7FEDE4D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附件：鹿邑县总工会（汇总）2024年度单位预算表</w:t>
      </w:r>
    </w:p>
    <w:p w14:paraId="5F77AD0E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DD95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8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67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O+QwSs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9A67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78CF9F"/>
    <w:multiLevelType w:val="singleLevel"/>
    <w:tmpl w:val="FA78CF9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5FD685"/>
    <w:multiLevelType w:val="singleLevel"/>
    <w:tmpl w:val="4F5FD6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wODc2ZDNlZmMwMTMwODUwODU2Njk5NzJmYmYxMjYifQ=="/>
  </w:docVars>
  <w:rsids>
    <w:rsidRoot w:val="00000000"/>
    <w:rsid w:val="03D169B6"/>
    <w:rsid w:val="37640C6A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1324.59</c:v>
                </c:pt>
                <c:pt idx="1" c:formatCode="#,##0.00">
                  <c:v>1446.433013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0493408174265"/>
                  <c:y val="-0.10708536255871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514035774368946"/>
                  <c:y val="-0.079941713333629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2899948725291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98980200243662"/>
                  <c:y val="0.1701675526982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88565438849017"/>
                  <c:y val="0.74881837463868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[鹿邑预算公开图表模板.xlsx]Sheet1!$E$20:$H$20</c:f>
              <c:strCache>
                <c:ptCount val="4"/>
                <c:pt idx="0">
                  <c:v>一般公共预算</c:v>
                </c:pt>
                <c:pt idx="1">
                  <c:v>政府性基金</c:v>
                </c:pt>
                <c:pt idx="2">
                  <c:v>国有资本经营</c:v>
                </c:pt>
                <c:pt idx="3">
                  <c:v>2</c:v>
                </c:pt>
              </c:strCache>
            </c:strRef>
          </c:cat>
          <c:val>
            <c:numRef>
              <c:f>[鹿邑预算公开图表模板.xlsx]Sheet1!$E$21:$H$21</c:f>
              <c:numCache>
                <c:formatCode>#0.00"万""元"</c:formatCode>
                <c:ptCount val="4"/>
                <c:pt idx="0">
                  <c:v>1168.53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53519744611275"/>
                  <c:y val="0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#0.00"万""元"</c:formatCode>
                <c:ptCount val="2"/>
                <c:pt idx="0">
                  <c:v>155.64</c:v>
                </c:pt>
                <c:pt idx="1">
                  <c:v>1168.96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1324.59</c:v>
                </c:pt>
                <c:pt idx="1" c:formatCode="#,##0.00">
                  <c:v>1446.433013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9762606682715"/>
                  <c:y val="-0.072760593244948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4417065620514"/>
                  <c:y val="0.22592162421168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2512559025914"/>
                  <c:y val="0.04242433007823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79269815435059"/>
                  <c:y val="0.052612349287541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1289.53</c:v>
                </c:pt>
                <c:pt idx="1">
                  <c:v>14.02</c:v>
                </c:pt>
                <c:pt idx="2">
                  <c:v>11.42</c:v>
                </c:pt>
                <c:pt idx="3">
                  <c:v>9.63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87284565644672"/>
                  <c:y val="-0.002371273712736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5868176538908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4892680590961"/>
                  <c:y val="-0.04815589173979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147.24</c:v>
                </c:pt>
                <c:pt idx="1" c:formatCode="#0.00&quot;万&quot;&quot;元&quot;">
                  <c:v>8.4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General</c:formatCode>
                <c:ptCount val="2"/>
                <c:pt idx="0">
                  <c:v>3</c:v>
                </c:pt>
                <c:pt idx="1" c:formatCode="0.00_ ">
                  <c:v>3.31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0a540-60ab-4749-92fc-d713ace67665}">
  <ds:schemaRefs/>
</ds:datastoreItem>
</file>

<file path=customXml/itemProps3.xml><?xml version="1.0" encoding="utf-8"?>
<ds:datastoreItem xmlns:ds="http://schemas.openxmlformats.org/officeDocument/2006/customXml" ds:itemID="{bf607930-a2ff-4504-bbd2-f714b3d644cc}">
  <ds:schemaRefs/>
</ds:datastoreItem>
</file>

<file path=customXml/itemProps4.xml><?xml version="1.0" encoding="utf-8"?>
<ds:datastoreItem xmlns:ds="http://schemas.openxmlformats.org/officeDocument/2006/customXml" ds:itemID="{c1484976-9327-408e-9c94-65d27bbaa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3930</Words>
  <Characters>4594</Characters>
  <TotalTime>6</TotalTime>
  <ScaleCrop>false</ScaleCrop>
  <LinksUpToDate>false</LinksUpToDate>
  <CharactersWithSpaces>4604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桀骜</cp:lastModifiedBy>
  <cp:lastPrinted>2024-01-27T03:01:00Z</cp:lastPrinted>
  <dcterms:modified xsi:type="dcterms:W3CDTF">2024-09-03T01:17:33Z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2052-12.1.0.17857</vt:lpwstr>
  </property>
  <property fmtid="{D5CDD505-2E9C-101B-9397-08002B2CF9AE}" pid="5" name="ICV">
    <vt:lpwstr>BF76CD38DD77498BB7F6815533CCD939_13</vt:lpwstr>
  </property>
</Properties>
</file>